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style7"/>
        <w:ind w:left="567" w:right="0" w:firstLine="567"/>
        <w:jc w:val="center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" behindDoc="0" locked="0" layoutInCell="1" allowOverlap="1">
                <wp:simplePos x="0" y="0"/>
                <wp:positionH relativeFrom="column">
                  <wp:posOffset>-1134648</wp:posOffset>
                </wp:positionH>
                <wp:positionV relativeFrom="paragraph">
                  <wp:posOffset>-642559</wp:posOffset>
                </wp:positionV>
                <wp:extent cx="7638718" cy="2581757"/>
                <wp:effectExtent l="0" t="0" r="0" b="0"/>
                <wp:wrapSquare wrapText="bothSides"/>
                <wp:docPr id="1" name="Изображения с прозрачностью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Изображения с прозрачностью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7">
                          <a:alphaModFix amt="100000"/>
                          <a:lum bright="0" contrast="0"/>
                        </a:blip>
                        <a:stretch/>
                      </pic:blipFill>
                      <pic:spPr>
                        <a:xfrm>
                          <a:off x="0" y="0"/>
                          <a:ext cx="7638718" cy="2581757"/>
                        </a:xfrm>
                        <a:prstGeom prst="rect">
                          <a:avLst/>
                        </a:prstGeom>
                        <a:effectLst/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;o:allowoverlap:true;o:allowincell:true;mso-position-horizontal-relative:text;margin-left:-89.34pt;mso-position-horizontal:absolute;mso-position-vertical-relative:text;margin-top:-50.60pt;mso-position-vertical:absolute;width:601.47pt;height:203.29pt;mso-wrap-distance-left:0.00pt;mso-wrap-distance-top:0.00pt;mso-wrap-distance-right:0.00pt;mso-wrap-distance-bottom:0.00pt;" stroked="false">
                <v:path textboxrect="0,0,0,0"/>
                <w10:wrap type="square"/>
                <v:imagedata r:id="rId7" o:title=""/>
              </v:shape>
            </w:pict>
          </mc:Fallback>
        </mc:AlternateContent>
      </w:r>
      <w:r>
        <w:rPr>
          <w:b/>
          <w:bCs/>
        </w:rPr>
        <w:t xml:space="preserve">  </w:t>
      </w:r>
      <w:r>
        <w:rPr>
          <w:b/>
          <w:bCs/>
          <w:sz w:val="28"/>
          <w:szCs w:val="28"/>
        </w:rPr>
        <w:t xml:space="preserve">Выписка из нормативно-правовых актов в сфере газоснабжения в РФ</w:t>
      </w:r>
    </w:p>
    <w:p>
      <w:pPr>
        <w:pStyle w:val="style12"/>
        <w:numPr>
          <w:numId w:val="0"/>
          <w:ilvl w:val="0"/>
        </w:numPr>
        <w:ind w:left="567" w:right="0" w:firstLine="0"/>
        <w:outlineLvl w:val="2"/>
        <w:rPr>
          <w:sz w:val="24"/>
        </w:rPr>
      </w:pPr>
    </w:p>
    <w:p>
      <w:pPr>
        <w:pStyle w:val="style7"/>
        <w:spacing w:before="0" w:after="0" w:line="240" w:lineRule="auto"/>
        <w:ind w:left="0" w:right="0" w:firstLine="703"/>
        <w:jc w:val="both"/>
      </w:pPr>
      <w:r>
        <w:t xml:space="preserve">Линейное производственное управление магистральных газопроводов Общества с ограниченной ответственностью «Черномортрансгаз» (далее – ЛПУМГ ООО «ЧТГ») информирует,</w:t>
      </w:r>
      <w:r>
        <w:rPr>
          <w:sz w:val="24"/>
          <w:szCs w:val="24"/>
        </w:rPr>
        <w:t xml:space="preserve"> что </w:t>
      </w:r>
      <w:r>
        <w:rPr>
          <w:sz w:val="24"/>
          <w:szCs w:val="24"/>
        </w:rPr>
        <w:t xml:space="preserve">по</w:t>
      </w:r>
      <w:r>
        <w:rPr>
          <w:sz w:val="22"/>
          <w:szCs w:val="22"/>
        </w:rPr>
        <w:t xml:space="preserve"> территории Новогригорьевского сельского поселения проходит </w:t>
      </w:r>
      <w:r>
        <w:rPr>
          <w:sz w:val="22"/>
          <w:szCs w:val="22"/>
        </w:rPr>
        <w:t xml:space="preserve">м</w:t>
      </w:r>
      <w:r>
        <w:rPr>
          <w:sz w:val="22"/>
          <w:szCs w:val="22"/>
        </w:rPr>
        <w:t xml:space="preserve">агистральный газопровод Джанкой - Феодосия - Керчь. </w:t>
      </w:r>
      <w:r>
        <w:t xml:space="preserve"> </w:t>
      </w:r>
      <w:r>
        <w:rPr>
          <w:sz w:val="22"/>
          <w:szCs w:val="22"/>
        </w:rPr>
        <w:t xml:space="preserve">А также от 6-10 метров по левой стороне движения газа, вдоль газопроводов проходят кабельные линии технологической связи. </w:t>
      </w:r>
      <w:r>
        <w:t xml:space="preserve">Точное расположение объектов ЛПУМГ ООО «ЧТГ» отражено в схемах территориального планирования, генеральных планах муниципальных образований и Публичной кадастровой карте Российской Федерации </w:t>
        <w:t xml:space="preserve"> </w:t>
        <w:t xml:space="preserve">как Зоны с особыми условиями использования территорий. На местности газопроводы обозначены железобетонными столбиками и предупреждающими знаками.</w:t>
      </w:r>
    </w:p>
    <w:p>
      <w:pPr>
        <w:pStyle w:val="style5"/>
        <w:spacing w:before="0" w:after="0" w:line="240" w:lineRule="auto"/>
        <w:ind w:left="0" w:right="0" w:firstLine="703"/>
        <w:jc w:val="both"/>
      </w:pPr>
      <w:r>
        <w:rPr>
          <w:rFonts w:eastAsia="Times New Roman" w:cs="Times New Roman"/>
          <w:color w:val="000000"/>
          <w:sz w:val="24"/>
          <w:szCs w:val="24"/>
        </w:rPr>
        <w:t xml:space="preserve">Границы охранных зон, минимальных расстояний объектов магистральных газопроводов, порядок согласования и производство работ в них, установлены ФЗ «О газоснабжении в Российской Федерации» с изменениями на 26 июля 2019 года), Земельным кодексом Российской Федерации, Федеральным законом от 03.08.2018 г </w:t>
        <w:t xml:space="preserve">               </w:t>
        <w:t xml:space="preserve">№ 342 ФЗ «О внесении изменений в Градостроительный кодекс Российской Федерации и отдельные законодательные акты Российской Федерации</w:t>
      </w:r>
      <w:r>
        <w:rPr>
          <w:rFonts w:eastAsia="Times New Roman" w:cs="Times New Roman"/>
          <w:b/>
          <w:color w:val="000000"/>
          <w:sz w:val="24"/>
          <w:szCs w:val="24"/>
        </w:rPr>
        <w:t xml:space="preserve">»,</w:t>
      </w:r>
      <w:r>
        <w:rPr>
          <w:rFonts w:eastAsia="Times New Roman" w:cs="Times New Roman"/>
          <w:color w:val="000000"/>
          <w:sz w:val="24"/>
          <w:szCs w:val="24"/>
        </w:rPr>
        <w:t xml:space="preserve"> Правилами охраны магистральных трубопроводов, утвержденными постановлением Госгортехнадзора России от 24.04.92 г. № 9, Правилами охраны магистральных газопроводов, утвержденных Постановлением Правительства Российской Федерации от 08.09.2017 № 1083, </w:t>
        <w:t xml:space="preserve">                         </w:t>
        <w:t xml:space="preserve">СП 36.13330.2012 г., Сводом правил. Магистральные трубопроводы. Актуализированная редакция СНиП 2.05.06-85*, </w:t>
      </w:r>
      <w:r>
        <w:rPr>
          <w:rFonts w:eastAsia="Times New Roman" w:cs="Times New Roman"/>
          <w:b w:val="0"/>
          <w:i w:val="0"/>
          <w:caps w:val="0"/>
          <w:smallCaps w:val="0"/>
          <w:color w:val="000000"/>
          <w:spacing w:val="0"/>
          <w:sz w:val="24"/>
          <w:szCs w:val="24"/>
          <w:lang w:eastAsia="ru-RU"/>
        </w:rPr>
        <w:t xml:space="preserve">Постановлением Главного государственного санитарного врача РФ от 25 сентября 2007 г. N 74 "О введении в действие новой редакции санитарно-эпидемиологических правил и нормативов СанПиН 2.2.1/2.1.1.1200-03 "Санитарно-защитные зоны и санитарная классификация предприятий, сооружений и иных объектов".</w:t>
      </w:r>
    </w:p>
    <w:p>
      <w:pPr>
        <w:pStyle w:val="style5"/>
        <w:spacing w:before="0" w:after="0" w:line="240" w:lineRule="auto"/>
        <w:ind w:left="0" w:right="0" w:firstLine="703"/>
        <w:jc w:val="both"/>
      </w:pPr>
      <w:r>
        <w:rPr>
          <w:rFonts w:eastAsia="Times New Roman" w:cs="Times New Roman"/>
          <w:color w:val="000000"/>
          <w:sz w:val="24"/>
          <w:szCs w:val="24"/>
        </w:rPr>
        <w:t xml:space="preserve"> </w:t>
        <w:t xml:space="preserve">Статьей 42 </w:t>
      </w:r>
      <w:hyperlink r:id="rId8">
        <w:r>
          <w:rPr>
            <w:rStyle w:val="style95"/>
          </w:rPr>
        </w:r>
        <w:r>
          <w:rPr>
            <w:rStyle w:val="style95"/>
          </w:rPr>
          <w:t xml:space="preserve">Земельного кодекса Российской Федерации" от 25.10.2001 N 136-ФЗ (ред. от 20.03.2025) (с изм. и доп., вступ. в силу с 27.06.2025)</w:t>
        </w:r>
      </w:hyperlink>
      <w:r>
        <w:rPr>
          <w:rFonts w:eastAsia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 </w:t>
      </w:r>
      <w:r>
        <w:rPr>
          <w:rFonts w:eastAsia="Times New Roman" w:cs="Times New Roman"/>
          <w:color w:val="333333"/>
          <w:sz w:val="24"/>
          <w:szCs w:val="24"/>
        </w:rPr>
        <w:t xml:space="preserve">установлены обязанности собственников земельных участков и лиц, не являющихся собственниками земельных участков, по использованию земельных участков. Собственники </w:t>
      </w:r>
      <w:r>
        <w:rPr>
          <w:rFonts w:eastAsia="Times New Roman" w:cs="Times New Roman"/>
          <w:color w:val="000000"/>
          <w:sz w:val="24"/>
          <w:szCs w:val="24"/>
        </w:rPr>
        <w:t xml:space="preserve">не должны препятствовать организации - собственнику объекта системы газоснабжения, нефтепровода или нефтепродуктопровода либо уполномоченной ею организации в выполнении ими работ по обслуживанию и ремонту расположенных на земельных участках и (или) под поверхностью земельных участков объектов системы газоснабжения, нефтепроводов и нефтепродуктопроводов, аммиакопроводов, по предупреждению чрезвычайных ситуаций, по ликвидации последствий, возникших на них аварий, катастроф.</w:t>
      </w:r>
    </w:p>
    <w:p>
      <w:pPr>
        <w:pStyle w:val="style5"/>
        <w:spacing w:before="0" w:after="0" w:line="240" w:lineRule="auto"/>
        <w:ind w:left="0" w:right="0" w:firstLine="703"/>
        <w:jc w:val="both"/>
      </w:pPr>
      <w:r>
        <w:rPr>
          <w:rFonts w:eastAsia="Times New Roman" w:cs="Times New Roman"/>
          <w:color w:val="000000"/>
          <w:sz w:val="24"/>
          <w:szCs w:val="24"/>
        </w:rPr>
        <w:t xml:space="preserve">Часть 2 ст.104 Земельного Кодекса РФ </w:t>
      </w:r>
      <w:hyperlink r:id="rId9">
        <w:r>
          <w:rPr>
            <w:rStyle w:val="style95"/>
          </w:rPr>
        </w:r>
        <w:r>
          <w:rPr>
            <w:rStyle w:val="style95"/>
          </w:rPr>
          <w:t xml:space="preserve">Земельного кодекса Российской Федерации" от 25.10.2001 N 136-ФЗ (ред. от 20.03.2025) (с изм. и доп., вступ. в силу с 27.06.2025)</w:t>
        </w:r>
      </w:hyperlink>
      <w:r>
        <w:rPr>
          <w:rFonts w:eastAsia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.</w:t>
      </w:r>
      <w:r>
        <w:rPr>
          <w:rFonts w:eastAsia="Times New Roman" w:cs="Times New Roman"/>
          <w:color w:val="000000"/>
          <w:sz w:val="24"/>
          <w:szCs w:val="24"/>
          <w:u w:val="none"/>
          <w:shd w:val="clear" w:color="auto" w:fill="ffffff"/>
        </w:rPr>
        <w:t xml:space="preserve"> </w:t>
        <w:t xml:space="preserve">               </w:t>
      </w:r>
      <w:r>
        <w:rPr>
          <w:rFonts w:eastAsia="Times New Roman" w:cs="Times New Roman"/>
          <w:color w:val="000000"/>
          <w:sz w:val="24"/>
          <w:szCs w:val="24"/>
          <w:shd w:val="clear" w:color="auto" w:fill="ffffff"/>
        </w:rPr>
        <w:t xml:space="preserve">В целях, предусмотренных </w:t>
      </w:r>
      <w:hyperlink r:id="rId10">
        <w:r>
          <w:rPr>
            <w:rStyle w:val="style95"/>
          </w:rPr>
        </w:r>
        <w:r>
          <w:rPr>
            <w:rStyle w:val="style95"/>
          </w:rPr>
        </w:r>
        <w:r>
          <w:rPr>
            <w:rStyle w:val="style95"/>
            <w:rFonts w:eastAsia="Times New Roman" w:cs="Times New Roman"/>
            <w:color w:val="000000"/>
            <w:sz w:val="24"/>
            <w:szCs w:val="24"/>
            <w:u w:val="single"/>
          </w:rPr>
          <w:t xml:space="preserve">пунктом 1</w:t>
        </w:r>
      </w:hyperlink>
      <w:r>
        <w:rPr>
          <w:rFonts w:eastAsia="Times New Roman" w:cs="Times New Roman"/>
          <w:color w:val="000000"/>
          <w:sz w:val="24"/>
          <w:szCs w:val="24"/>
          <w:shd w:val="clear" w:color="auto" w:fill="ffffff"/>
        </w:rPr>
        <w:t xml:space="preserve"> настоящей статьи, в границах зон с особыми условиями использования территорий устанавливаются ограничения использования земельных участков, которые распространяются на все, что находится над и под поверхностью земель, если иное не предусмотрено законами о недрах, воздушным и водным законодательством, и ограничивают или запрещают размещение и (или) использование расположенных на таких земельных участках объектов недвижимого имущества и (или) ограничивают или запрещают использование земельных участков для осуществления иных видов деятельности, которые несовместимы с целями установления зон с особыми условиями использования территорий.</w:t>
      </w:r>
    </w:p>
    <w:p>
      <w:pPr>
        <w:pStyle w:val="style5"/>
        <w:spacing w:before="0" w:after="0" w:line="240" w:lineRule="auto"/>
        <w:ind w:left="0" w:right="0" w:firstLine="703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В соответствии с требованиями ч. 3 ст. 32 Федерального закона от 31.03.1999 г. </w:t>
        <w:t xml:space="preserve">          </w:t>
        <w:t xml:space="preserve">№ 69 ФЗ «О газоснабжении в Российской Федерации» (с изменениями на </w:t>
        <w:t xml:space="preserve">                                  </w:t>
        <w:t xml:space="preserve">26 июля 2019 года) - Органы исполнительной власти и должностные лица, граждане, виновные в нарушении ограничений использования земельных участков, осуществления хозяйственной деятельности в границах охранных зон газопроводов, зон минимальных расстояний до магистральных или промышленных трубопроводов или в умышленном блокировании объектов систем газоснабжения либо их повреждении, иных нарушающих бесперебойную и безопасную работу объектов систем газоснабжения незаконных действиях, несут ответственность в соответствии с законодательством Российской Федерации.</w:t>
      </w:r>
    </w:p>
    <w:p>
      <w:pPr>
        <w:pStyle w:val="style5"/>
        <w:spacing w:before="0" w:after="0" w:line="240" w:lineRule="auto"/>
        <w:ind w:left="0" w:right="0" w:firstLine="703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Правилами охраны магистральных газопроводов, утвержденных Постановлением Правительства Российской Федерации от 08.09.2017 № 1083 установлены требования направленные на обеспечение сохранности объектов магистрального газопровода, создания нормальных условий эксплуатации и предотвращения несчастных случаев на них, а также определен порядок проведения работ в охранных зонах магистральных газопроводов.</w:t>
      </w:r>
    </w:p>
    <w:p>
      <w:pPr>
        <w:pStyle w:val="style5"/>
        <w:shd w:val="clear" w:color="auto" w:fill="ffffff"/>
        <w:spacing w:before="0" w:after="0" w:line="240" w:lineRule="auto"/>
        <w:ind w:left="0" w:right="0" w:firstLine="703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Пунктом 3 Правил охраны магистральных газопроводов, утвержденных Постановлением Правительства Российской Федерации от 08.09.2017 № 1083 </w:t>
        <w:t xml:space="preserve">                       </w:t>
        <w:t xml:space="preserve">(далее – Правил), охранные зоны объектов магистральных газопроводов устанавливаются: </w:t>
      </w:r>
    </w:p>
    <w:p>
      <w:pPr>
        <w:pStyle w:val="style5"/>
        <w:shd w:val="clear" w:color="auto" w:fill="ffffff"/>
        <w:spacing w:before="0" w:after="0" w:line="240" w:lineRule="auto"/>
        <w:ind w:left="0" w:right="0" w:firstLine="703"/>
        <w:jc w:val="both"/>
        <w:rPr>
          <w:rFonts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Cs/>
          <w:color w:val="000000"/>
          <w:sz w:val="24"/>
          <w:szCs w:val="24"/>
          <w:lang w:eastAsia="ru-RU"/>
        </w:rPr>
        <w:t xml:space="preserve">а) вдоль линейной части магистрального газопровода - в виде территории, ограниченной условными параллельными плоскостями, проходящими на расстоянии </w:t>
        <w:t xml:space="preserve">              </w:t>
        <w:t xml:space="preserve">25 метров от оси магистрального газопровода с каждой стороны;</w:t>
      </w:r>
    </w:p>
    <w:p>
      <w:pPr>
        <w:pStyle w:val="style5"/>
        <w:shd w:val="clear" w:color="auto" w:fill="ffffff"/>
        <w:spacing w:before="0" w:after="0" w:line="240" w:lineRule="auto"/>
        <w:ind w:left="0" w:right="0" w:firstLine="703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б) вдоль линейной части многониточного магистрального газопровода - в виде территории, ограниченной условными параллельными плоскостями, проходящими на расстоянии 25 метров от осей крайних ниток магистрального газопровода;</w:t>
      </w:r>
    </w:p>
    <w:p>
      <w:pPr>
        <w:pStyle w:val="style5"/>
        <w:shd w:val="clear" w:color="auto" w:fill="ffffff"/>
        <w:spacing w:before="0" w:after="0" w:line="240" w:lineRule="auto"/>
        <w:ind w:left="0" w:right="0" w:firstLine="703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в) вдоль подводных переходов магистральных газопроводов через водные преграды - в виде части водного объекта от поверхности до дна, ограниченной условными параллельными плоскостями, отстоящими от оси магистрального газопровода на </w:t>
        <w:t xml:space="preserve">                  </w:t>
        <w:t xml:space="preserve">100 метров с каждой стороны;</w:t>
      </w:r>
    </w:p>
    <w:p>
      <w:pPr>
        <w:pStyle w:val="style5"/>
        <w:shd w:val="clear" w:color="auto" w:fill="ffffff"/>
        <w:spacing w:before="0" w:after="0" w:line="240" w:lineRule="auto"/>
        <w:ind w:left="0" w:right="0" w:firstLine="703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г) вдоль газопроводов, соединяющих объекты подземных хранилищ газа, - в виде территории, ограниченной условными параллельными плоскостями, проходящими на расстоянии 25 метров от осей газопроводов с каждой стороны;</w:t>
      </w:r>
    </w:p>
    <w:p>
      <w:pPr>
        <w:pStyle w:val="style5"/>
        <w:shd w:val="clear" w:color="auto" w:fill="ffffff"/>
        <w:spacing w:before="0" w:after="0" w:line="240" w:lineRule="auto"/>
        <w:ind w:left="0" w:right="0" w:firstLine="703"/>
        <w:jc w:val="both"/>
      </w:pPr>
      <w:r>
        <w:rPr>
          <w:rFonts w:eastAsia="Times New Roman" w:cs="Times New Roman"/>
          <w:bCs/>
          <w:color w:val="000000"/>
          <w:sz w:val="24"/>
          <w:szCs w:val="24"/>
          <w:lang w:eastAsia="ru-RU"/>
        </w:rPr>
        <w:t xml:space="preserve">д) вокруг компрессорных станций, газоизмерительных станций, газораспределительных станций, узлов и пунктов редуцирования газа, станций охлаждения газа - в виде территории, ограниченной условной замкнутой линией, </w:t>
      </w:r>
      <w:r>
        <w:rPr>
          <w:rFonts w:eastAsia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отстоящей от внешней границы указанных объектов на 100 метров с каждой стороны;</w:t>
      </w:r>
    </w:p>
    <w:p>
      <w:pPr>
        <w:pStyle w:val="style5"/>
        <w:shd w:val="clear" w:color="auto" w:fill="ffffff"/>
        <w:spacing w:before="0" w:after="0" w:line="240" w:lineRule="auto"/>
        <w:ind w:left="0" w:right="0" w:firstLine="703"/>
        <w:jc w:val="both"/>
      </w:pPr>
      <w:r>
        <w:rPr>
          <w:rFonts w:eastAsia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е) вокруг наземных сооружений подземных хранилищ газа - в виде территории, ограниченной условной замкнутой линией, отстоящей от внешней границы указанных объектов на 100 метров с каждой стороны.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  <w:lang w:eastAsia="ru-RU"/>
        </w:rPr>
      </w:r>
    </w:p>
    <w:p>
      <w:pPr>
        <w:pStyle w:val="style5"/>
        <w:shd w:val="clear" w:color="auto" w:fill="ffffff"/>
        <w:spacing w:before="0" w:after="0" w:line="240" w:lineRule="auto"/>
        <w:ind w:left="0" w:right="0" w:firstLine="0"/>
        <w:jc w:val="both"/>
        <w:rPr>
          <w:rFonts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 xml:space="preserve"> </w:t>
        <w:t xml:space="preserve">Пункт 4 Правил. В охранной зоне запрещается:</w:t>
      </w:r>
    </w:p>
    <w:p>
      <w:pPr>
        <w:pStyle w:val="style5"/>
        <w:shd w:val="clear" w:color="auto" w:fill="ffffff"/>
        <w:spacing w:before="0" w:after="0" w:line="240" w:lineRule="auto"/>
        <w:ind w:left="0" w:right="0" w:firstLine="0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а) перемещать, засыпать, повреждать и разрушать контрольно-измерительные и контрольно-диагностические пункты, предупредительные надписи, опознавательные и </w:t>
        <w:t xml:space="preserve">сигнальные знаки местонахождения магистральных газопроводов; </w:t>
        <w:br/>
        <w:t xml:space="preserve">б) открывать двери и люки необслуживаемых усилительных пунктов на кабельных линиях связи, калитки ограждений узлов линейной арматуры, двери установок электрохимической защиты, люки линейных и смотровых колодцев, открывать и закрывать краны, задвижки, отключать и включать средства связи, энергоснабжения, устройства телемеханики магистральных газопроводов; </w:t>
        <w:br/>
        <w:t xml:space="preserve">в) устраивать свалки, осуществлять сброс и слив едких и коррозионно-агрессивных веществ и горюче-смазочных материалов;</w:t>
      </w:r>
    </w:p>
    <w:p>
      <w:pPr>
        <w:pStyle w:val="style5"/>
        <w:shd w:val="clear" w:color="auto" w:fill="ffffff"/>
        <w:spacing w:before="0" w:after="0" w:line="240" w:lineRule="auto"/>
        <w:ind w:left="0" w:right="0" w:firstLine="0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г) складировать любые материалы, в том числе горюче-смазочные, или размещать хранилища любых материалов;</w:t>
      </w:r>
    </w:p>
    <w:p>
      <w:pPr>
        <w:pStyle w:val="style5"/>
        <w:shd w:val="clear" w:color="auto" w:fill="ffffff"/>
        <w:spacing w:before="0" w:after="0" w:line="240" w:lineRule="auto"/>
        <w:ind w:left="0" w:right="0" w:firstLine="0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д) повреждать берегозащитные, водовыпускные сооружения, земляные и иные сооружения (устройства), предохраняющие магистральный газопровод от разрушения; </w:t>
        <w:br/>
        <w:t xml:space="preserve">е) осуществлять постановку судов и плавучих объектов на якорь, добычу морских млекопитающих, рыболовство придонными орудиями добыч водных биологических ресурсов, плавание с вытравленной якорь-цепью;</w:t>
      </w:r>
    </w:p>
    <w:p>
      <w:pPr>
        <w:pStyle w:val="style5"/>
        <w:shd w:val="clear" w:color="auto" w:fill="ffffff"/>
        <w:spacing w:before="0" w:after="0" w:line="240" w:lineRule="auto"/>
        <w:ind w:left="0" w:right="0" w:firstLine="0"/>
        <w:jc w:val="both"/>
        <w:rPr>
          <w:rFonts w:eastAsia="Times New Roman" w:cs="Times New Roman"/>
          <w:color w:val="000000"/>
          <w:sz w:val="24"/>
          <w:szCs w:val="24"/>
          <w:u w:val="none"/>
        </w:rPr>
      </w:pPr>
      <w:r>
        <w:rPr>
          <w:rFonts w:eastAsia="Times New Roman" w:cs="Times New Roman"/>
          <w:color w:val="000000"/>
          <w:sz w:val="24"/>
          <w:szCs w:val="24"/>
          <w:u w:val="none"/>
        </w:rPr>
        <w:t xml:space="preserve">ж) проводить дноуглубительные и другие работы, связанные с изменением дна и берегов водных объектов, за исключением работ, необходимых для технического обслуживания объекта магистрального газопровода; </w:t>
      </w:r>
    </w:p>
    <w:p>
      <w:pPr>
        <w:pStyle w:val="style5"/>
        <w:shd w:val="clear" w:color="auto" w:fill="ffffff"/>
        <w:spacing w:before="0" w:after="0" w:line="240" w:lineRule="auto"/>
        <w:ind w:left="0" w:right="0" w:firstLine="0"/>
        <w:jc w:val="both"/>
        <w:rPr>
          <w:rFonts w:eastAsia="Times New Roman" w:cs="Times New Roman"/>
          <w:color w:val="000000"/>
          <w:sz w:val="24"/>
          <w:szCs w:val="24"/>
          <w:u w:val="none"/>
        </w:rPr>
      </w:pPr>
      <w:r>
        <w:rPr>
          <w:rFonts w:eastAsia="Times New Roman" w:cs="Times New Roman"/>
          <w:color w:val="000000"/>
          <w:sz w:val="24"/>
          <w:szCs w:val="24"/>
          <w:u w:val="none"/>
        </w:rPr>
        <w:t xml:space="preserve">з)проводить работы с использованием ударно-импульсных устройств и вспомогательных механизмов, сбрасывать грузы;</w:t>
      </w:r>
    </w:p>
    <w:p>
      <w:pPr>
        <w:pStyle w:val="style5"/>
        <w:shd w:val="clear" w:color="auto" w:fill="ffffff"/>
        <w:spacing w:before="0" w:after="0" w:line="240" w:lineRule="auto"/>
        <w:ind w:left="0" w:right="0" w:firstLine="0"/>
        <w:jc w:val="both"/>
        <w:rPr>
          <w:rFonts w:eastAsia="Times New Roman" w:cs="Times New Roman"/>
          <w:color w:val="000000"/>
          <w:sz w:val="24"/>
          <w:szCs w:val="24"/>
          <w:u w:val="none"/>
        </w:rPr>
      </w:pPr>
      <w:r>
        <w:rPr>
          <w:rFonts w:eastAsia="Times New Roman" w:cs="Times New Roman"/>
          <w:color w:val="000000"/>
          <w:sz w:val="24"/>
          <w:szCs w:val="24"/>
          <w:u w:val="none"/>
        </w:rPr>
        <w:t xml:space="preserve">и) осуществлять рекреационную деятельность, кроме деятельности, предусмотренной подпунктом "ж" пункта 6 Правил, разводить костры и размещать источники огня; </w:t>
        <w:br/>
        <w:t xml:space="preserve">к) огораживать и перегораживать охранные зоны;</w:t>
      </w:r>
    </w:p>
    <w:p>
      <w:pPr>
        <w:pStyle w:val="style5"/>
        <w:shd w:val="clear" w:color="auto" w:fill="ffffff"/>
        <w:spacing w:before="0" w:after="0" w:line="240" w:lineRule="auto"/>
        <w:ind w:left="0" w:right="0" w:firstLine="0"/>
        <w:jc w:val="both"/>
      </w:pPr>
      <w:r>
        <w:rPr>
          <w:rFonts w:eastAsia="Times New Roman" w:cs="Times New Roman"/>
          <w:color w:val="000000"/>
          <w:sz w:val="24"/>
          <w:szCs w:val="24"/>
          <w:u w:val="none"/>
        </w:rPr>
        <w:t xml:space="preserve">л) размещать какие-либо здания, </w:t>
      </w:r>
      <w:r>
        <w:rPr>
          <w:rFonts w:eastAsia="Times New Roman" w:cs="Times New Roman"/>
          <w:color w:val="000000"/>
          <w:sz w:val="24"/>
          <w:szCs w:val="24"/>
          <w:u w:val="none"/>
          <w:shd w:val="clear" w:color="auto" w:fill="auto"/>
        </w:rPr>
        <w:t xml:space="preserve">строения, сооруж</w:t>
      </w:r>
      <w:r>
        <w:rPr>
          <w:rFonts w:eastAsia="Times New Roman" w:cs="Times New Roman"/>
          <w:color w:val="000000"/>
          <w:sz w:val="24"/>
          <w:szCs w:val="24"/>
          <w:u w:val="none"/>
        </w:rPr>
        <w:t xml:space="preserve">ения, не относящиеся к объектам, указанным в пункте 2 Правил, за исключением объектов, указанных в подпунктах "д" - "к" и "м" пункта 6 Правил;</w:t>
      </w:r>
    </w:p>
    <w:p>
      <w:pPr>
        <w:pStyle w:val="style5"/>
        <w:shd w:val="clear" w:color="auto" w:fill="ffffff"/>
        <w:spacing w:before="0" w:after="0" w:line="240" w:lineRule="auto"/>
        <w:ind w:left="0" w:right="0" w:firstLine="0"/>
        <w:jc w:val="both"/>
        <w:rPr>
          <w:rFonts w:eastAsia="Times New Roman" w:cs="Times New Roman"/>
          <w:color w:val="000000"/>
          <w:sz w:val="24"/>
          <w:szCs w:val="24"/>
          <w:u w:val="none"/>
        </w:rPr>
      </w:pPr>
      <w:r>
        <w:rPr>
          <w:rFonts w:eastAsia="Times New Roman" w:cs="Times New Roman"/>
          <w:color w:val="000000"/>
          <w:sz w:val="24"/>
          <w:szCs w:val="24"/>
          <w:u w:val="none"/>
        </w:rPr>
        <w:t xml:space="preserve">м) осуществлять несанкционированное подключение (присоединение) к магистральному газопроводу. </w:t>
        <w:t xml:space="preserve"> </w:t>
      </w:r>
    </w:p>
    <w:p>
      <w:pPr>
        <w:pStyle w:val="style5"/>
        <w:shd w:val="clear" w:color="auto" w:fill="ffffff"/>
        <w:spacing w:before="0" w:after="0" w:line="240" w:lineRule="auto"/>
        <w:ind w:left="0" w:right="0" w:firstLine="703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Пункт 5 Правил. В охранных зонах собственник или иной законный владелец земельного участка может производить полевые сельскохозяйственные работы и работы, связанные с временным затоплением орошаемых сельскохозяйственных земель, предварительно письменно уведомив собственника магистрального газопровода или организацию, эксплуатирующую магистральный газопровод.</w:t>
      </w:r>
    </w:p>
    <w:p>
      <w:pPr>
        <w:pStyle w:val="style5"/>
        <w:shd w:val="clear" w:color="auto" w:fill="ffffff"/>
        <w:spacing w:before="0" w:after="0" w:line="240" w:lineRule="auto"/>
        <w:ind w:left="0" w:right="0" w:firstLine="703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Пункт 6 Правил. С письменного разрешения (далее – разрешение на производство работ) собственника магистрального газопровода или организации, эксплуатирующей магистральный газопровод, допускается:</w:t>
      </w:r>
    </w:p>
    <w:p>
      <w:pPr>
        <w:pStyle w:val="style5"/>
        <w:shd w:val="clear" w:color="auto" w:fill="ffffff"/>
        <w:spacing w:before="0" w:after="0" w:line="240" w:lineRule="auto"/>
        <w:ind w:left="0" w:right="0" w:firstLine="0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а) проведение горных, взрывных, строительных, монтажных, мелиоративных работ, в том числе работ, связанных с затоплением земель;</w:t>
      </w:r>
    </w:p>
    <w:p>
      <w:pPr>
        <w:pStyle w:val="style5"/>
        <w:shd w:val="clear" w:color="auto" w:fill="ffffff"/>
        <w:spacing w:before="0" w:after="0" w:line="240" w:lineRule="auto"/>
        <w:ind w:left="0" w:right="0" w:firstLine="0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б) осуществление посадки и вырубки деревьев и кустарников; </w:t>
      </w:r>
    </w:p>
    <w:p>
      <w:pPr>
        <w:pStyle w:val="style5"/>
        <w:spacing w:before="0" w:after="0" w:line="240" w:lineRule="auto"/>
        <w:ind w:left="0" w:right="0" w:firstLine="0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в) проведение погрузочно-разгрузочных работ, устройство водопоев скота, колка и заготовка льда; </w:t>
      </w:r>
    </w:p>
    <w:p>
      <w:pPr>
        <w:pStyle w:val="style5"/>
        <w:spacing w:before="0" w:after="0" w:line="240" w:lineRule="auto"/>
        <w:ind w:left="0" w:right="0" w:firstLine="0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г) проведение земляных работ на глубине более чем 0,3 метра, планировка грунта; </w:t>
        <w:br/>
        <w:t xml:space="preserve">д) сооружение запруд на реках и ручьях;</w:t>
      </w:r>
    </w:p>
    <w:p>
      <w:pPr>
        <w:pStyle w:val="style5"/>
        <w:spacing w:before="0" w:after="0" w:line="240" w:lineRule="auto"/>
        <w:ind w:left="0" w:right="0" w:firstLine="0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е) складирование кормов, удобрений, сена, соломы, размещение полевых станов и загонов для скота;</w:t>
      </w:r>
    </w:p>
    <w:p>
      <w:pPr>
        <w:pStyle w:val="style5"/>
        <w:spacing w:before="0" w:after="0" w:line="240" w:lineRule="auto"/>
        <w:ind w:left="0" w:right="0" w:firstLine="0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ж) </w:t>
        <w:t xml:space="preserve"> </w:t>
        <w:t xml:space="preserve">размещение туристских стоянок;</w:t>
      </w:r>
    </w:p>
    <w:p>
      <w:pPr>
        <w:pStyle w:val="style5"/>
        <w:spacing w:before="0" w:after="0" w:line="240" w:lineRule="auto"/>
        <w:ind w:left="0" w:right="0" w:firstLine="0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з) размещение гаражей, стоянок и парковок транспортных средств; </w:t>
        <w:br/>
        <w:t xml:space="preserve">и) сооружение переездов через магистральные газопроводы;</w:t>
      </w:r>
    </w:p>
    <w:p>
      <w:pPr>
        <w:pStyle w:val="style5"/>
        <w:spacing w:before="0" w:after="0" w:line="240" w:lineRule="auto"/>
        <w:ind w:left="0" w:right="0" w:firstLine="0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к) прокладка инженерных коммуникаций;</w:t>
      </w:r>
    </w:p>
    <w:p>
      <w:pPr>
        <w:pStyle w:val="style5"/>
        <w:spacing w:before="0" w:after="0" w:line="240" w:lineRule="auto"/>
        <w:ind w:left="0" w:right="0" w:firstLine="0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л) проведение инженерных изысканий, связанных с бурением скважин и устройством шурфов; </w:t>
        <w:br/>
        <w:t xml:space="preserve">м) устройство причалов для судов и пляжей;</w:t>
      </w:r>
    </w:p>
    <w:p>
      <w:pPr>
        <w:pStyle w:val="style5"/>
        <w:spacing w:before="0" w:after="0" w:line="240" w:lineRule="auto"/>
        <w:ind w:left="0" w:right="0" w:firstLine="0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н) проведение работ на объектах транспортной инфраструктуры, находящихся на территории охранной зоны;</w:t>
      </w:r>
    </w:p>
    <w:p>
      <w:pPr>
        <w:pStyle w:val="style5"/>
        <w:spacing w:before="0" w:after="0" w:line="240" w:lineRule="auto"/>
        <w:ind w:left="0" w:right="0" w:firstLine="0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о) проведение работ, связанных с временным затоплением земель, не относящихся к землям сельскохозяйственного назначения.</w:t>
      </w:r>
    </w:p>
    <w:p>
      <w:pPr>
        <w:pStyle w:val="style5"/>
        <w:spacing w:before="0" w:after="0" w:line="240" w:lineRule="auto"/>
        <w:ind w:left="0" w:right="0" w:firstLine="703"/>
        <w:jc w:val="both"/>
      </w:pPr>
      <w:r>
        <w:rPr>
          <w:rFonts w:eastAsia="Times New Roman" w:cs="Times New Roman"/>
          <w:b w:val="0"/>
          <w:bCs w:val="0"/>
          <w:color w:val="000000"/>
          <w:sz w:val="24"/>
          <w:szCs w:val="24"/>
        </w:rPr>
        <w:t xml:space="preserve">Пункт 5.1</w:t>
      </w:r>
      <w:r>
        <w:rPr>
          <w:rFonts w:eastAsia="Times New Roman" w:cs="Times New Roman"/>
          <w:b w:val="0"/>
          <w:bCs w:val="0"/>
          <w:i/>
          <w:color w:val="000000"/>
          <w:sz w:val="24"/>
          <w:szCs w:val="24"/>
          <w:u w:val="single"/>
        </w:rPr>
        <w:t xml:space="preserve">.</w:t>
      </w:r>
      <w:r>
        <w:rPr>
          <w:rFonts w:eastAsia="Times New Roman" w:cs="Times New Roman"/>
          <w:b/>
          <w:i/>
          <w:color w:val="000000"/>
          <w:sz w:val="24"/>
          <w:szCs w:val="24"/>
          <w:u w:val="single"/>
        </w:rPr>
        <w:t xml:space="preserve"> (</w:t>
      </w:r>
      <w:r>
        <w:rPr>
          <w:rFonts w:eastAsia="Times New Roman" w:cs="Times New Roman"/>
          <w:i/>
          <w:color w:val="000000"/>
          <w:sz w:val="24"/>
          <w:szCs w:val="24"/>
          <w:u w:val="single"/>
        </w:rPr>
        <w:t xml:space="preserve">Правил охраны магистральных трубопроводов, утвержденных постановлением Госгортехнадзора России от 24.04.92 г. № 9</w:t>
      </w:r>
      <w:r>
        <w:rPr>
          <w:rFonts w:eastAsia="Times New Roman" w:cs="Times New Roman"/>
          <w:b/>
          <w:i/>
          <w:color w:val="000000"/>
          <w:sz w:val="24"/>
          <w:szCs w:val="24"/>
          <w:u w:val="single"/>
        </w:rPr>
        <w:t xml:space="preserve">).</w:t>
      </w:r>
      <w:r>
        <w:rPr>
          <w:rFonts w:eastAsia="Times New Roman" w:cs="Times New Roman"/>
          <w:b/>
          <w:i/>
          <w:color w:val="000000"/>
          <w:sz w:val="24"/>
          <w:szCs w:val="24"/>
          <w:u w:val="none"/>
        </w:rPr>
        <w:t xml:space="preserve"> </w:t>
      </w:r>
      <w:r>
        <w:rPr>
          <w:rFonts w:eastAsia="Times New Roman" w:cs="Times New Roman"/>
          <w:b/>
          <w:color w:val="000000"/>
          <w:sz w:val="24"/>
          <w:szCs w:val="24"/>
        </w:rPr>
        <w:t xml:space="preserve">Любые работы и действия, производимые в охранных зонах трубопроводов, кроме ремонтно-восстановительных и сельскохозяйственных работ, могут выполняться только по получении Разрешения на производство работ в охранной зоне магистрального трубопровода (приложение </w:t>
      </w:r>
      <w:r>
        <w:rPr>
          <w:rFonts w:eastAsia="Times New Roman" w:cs="Times New Roman"/>
          <w:b/>
          <w:color w:val="000000"/>
          <w:sz w:val="24"/>
          <w:szCs w:val="24"/>
          <w:u w:val="none"/>
        </w:rPr>
        <w:t xml:space="preserve">1</w:t>
      </w:r>
      <w:r>
        <w:rPr>
          <w:rFonts w:eastAsia="Times New Roman" w:cs="Times New Roman"/>
          <w:b/>
          <w:color w:val="000000"/>
          <w:sz w:val="24"/>
          <w:szCs w:val="24"/>
          <w:u w:val="none"/>
        </w:rPr>
        <w:t xml:space="preserve">)</w:t>
      </w:r>
      <w:r>
        <w:rPr>
          <w:rFonts w:eastAsia="Times New Roman" w:cs="Times New Roman"/>
          <w:b/>
          <w:color w:val="000000"/>
          <w:sz w:val="24"/>
          <w:szCs w:val="24"/>
        </w:rPr>
        <w:t xml:space="preserve"> от предприятия трубопроводного транспорта. Разрешение на производство работ может быть выдано только при условии наличия у производителя работ проектной и исполнительной документации, на которой нанесены действующие трубопроводы.</w:t>
      </w:r>
    </w:p>
    <w:p>
      <w:pPr>
        <w:pStyle w:val="style5"/>
        <w:spacing w:before="0" w:after="0" w:line="240" w:lineRule="auto"/>
        <w:ind w:left="0" w:right="0" w:firstLine="703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Пункт 7 Правил. Разрешение на производство работ должно содержать информацию о наименовании запланированных работ, территории их проведения, датах начала и окончания работ, наличии, возможном возникновении и характере опасных факторов, об условиях, в которых будут производиться работы, в том числе о расположенных на территории производства работ подземных инженерных коммуникациях и сооружениях, о мерах предосторожности, наличии и содержании инструкций, которыми необходимо руководствоваться при выполнении конкретных видов работ, об этапах работ, выполняемых в присутствии и под наблюдением представителя собственника магистрального газопровода или организации, эксплуатирующей магистральный газопровод, а также фамилию, имя и отчество ответственного лица собственника магистрального газопровода или организации, эксплуатирующей магистральный газопровод.</w:t>
      </w:r>
    </w:p>
    <w:p>
      <w:pPr>
        <w:pStyle w:val="style5"/>
        <w:spacing w:before="0" w:after="0" w:line="240" w:lineRule="auto"/>
        <w:ind w:left="0" w:right="0" w:firstLine="703"/>
        <w:jc w:val="both"/>
      </w:pPr>
      <w:r>
        <w:rPr>
          <w:rFonts w:eastAsia="Times New Roman" w:cs="Times New Roman"/>
          <w:color w:val="000000"/>
          <w:sz w:val="24"/>
          <w:szCs w:val="24"/>
        </w:rPr>
        <w:t xml:space="preserve">Пункт 8 Правил. В целях получения разрешения на производство работ организация или физическое лицо, намеревающиеся производить указанные</w:t>
      </w:r>
      <w:r>
        <w:rPr>
          <w:rFonts w:eastAsia="Times New Roman" w:cs="Times New Roman"/>
          <w:color w:val="000000"/>
          <w:sz w:val="24"/>
          <w:szCs w:val="24"/>
          <w:u w:val="none"/>
        </w:rPr>
        <w:t xml:space="preserve"> в </w:t>
      </w:r>
      <w:hyperlink r:id="rId11">
        <w:r>
          <w:rPr>
            <w:rStyle w:val="style95"/>
          </w:rPr>
        </w:r>
        <w:r>
          <w:rPr>
            <w:rStyle w:val="style95"/>
          </w:rPr>
        </w:r>
        <w:r>
          <w:rPr>
            <w:rStyle w:val="style95"/>
            <w:rFonts w:eastAsia="Times New Roman" w:cs="Times New Roman"/>
            <w:color w:val="000000"/>
            <w:sz w:val="24"/>
            <w:szCs w:val="24"/>
            <w:u w:val="none"/>
          </w:rPr>
          <w:t xml:space="preserve">пункте 6</w:t>
        </w:r>
      </w:hyperlink>
      <w:r>
        <w:rPr>
          <w:rFonts w:eastAsia="Times New Roman" w:cs="Times New Roman"/>
          <w:color w:val="000000"/>
          <w:sz w:val="24"/>
          <w:szCs w:val="24"/>
        </w:rPr>
        <w:t xml:space="preserve"> Правил работы, обязаны обратиться к собственнику магистрального газопровода или организации, эксплуатирующей магистральный газопровод, с письменным заявлением не менее чем за 20 рабочих дней до планируемого дня начала работ.</w:t>
      </w:r>
    </w:p>
    <w:p>
      <w:pPr>
        <w:pStyle w:val="style5"/>
        <w:shd w:val="clear" w:color="auto" w:fill="ffffff"/>
        <w:spacing w:before="0" w:after="0" w:line="240" w:lineRule="auto"/>
        <w:ind w:left="0" w:right="0" w:firstLine="703"/>
        <w:jc w:val="both"/>
        <w:rPr>
          <w:rFonts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 xml:space="preserve">Пункт 19 Правил. Собственник магистрального газопровода или организация, эксплуатирующая магистральный газопровод, имеют право:</w:t>
      </w:r>
    </w:p>
    <w:p>
      <w:pPr>
        <w:pStyle w:val="style5"/>
        <w:shd w:val="clear" w:color="auto" w:fill="ffffff"/>
        <w:spacing w:before="0" w:after="0" w:line="240" w:lineRule="auto"/>
        <w:ind w:left="0" w:right="0" w:firstLine="0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а) на выполнение работ по обслуживанию и ремонту магистрального газопровода, включающих в том числе:</w:t>
      </w:r>
    </w:p>
    <w:p>
      <w:pPr>
        <w:pStyle w:val="style5"/>
        <w:shd w:val="clear" w:color="auto" w:fill="ffffff"/>
        <w:spacing w:before="0" w:after="0" w:line="240" w:lineRule="auto"/>
        <w:ind w:left="0" w:right="0" w:firstLine="703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Подъезд автомобильного транспорта и других транспортных средств к магистральному газопроводу для его обслуживания и проведения ремонтных работ в соответствии со схемой проезда, которую разрабатывают собственник магистрального газопровода или организация, эксплуатирующая магистральный газопровод, и направляют собственникам или иным законным владельцам земельных участков, в границах которых расположена охранная зона;</w:t>
      </w:r>
    </w:p>
    <w:p>
      <w:pPr>
        <w:pStyle w:val="style5"/>
        <w:shd w:val="clear" w:color="auto" w:fill="ffffff"/>
        <w:spacing w:before="0" w:after="0" w:line="240" w:lineRule="auto"/>
        <w:ind w:left="0" w:right="0" w:firstLine="703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Устройство в пределах охранной зоны шурфов, в том числе для проверки качества изоляции линейной части магистрального газопровода и состояния средств его электрохимической защиты от коррозии, и производство других земляных работ, необходимых для обеспечения нормальной эксплуатации магистральных газопроводов, с предварительным (не менее чем за 5 дней до начала работ) уведомлением об этом собственников или иных законных владельцев земельных участков, в границах которых расположена охранная зона;</w:t>
      </w:r>
    </w:p>
    <w:p>
      <w:pPr>
        <w:pStyle w:val="style5"/>
        <w:shd w:val="clear" w:color="auto" w:fill="ffffff"/>
        <w:spacing w:before="0" w:after="0" w:line="240" w:lineRule="auto"/>
        <w:ind w:left="0" w:right="0" w:firstLine="703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б) на рубку лесных насаждений или повреждение сельскохозяйственных культур при ликвидации последствий аварий и чрезвычайных ситуаций на магистральных газопроводах с последующей очисткой территории от порубочных остатков. </w:t>
      </w:r>
    </w:p>
    <w:p>
      <w:pPr>
        <w:pStyle w:val="style5"/>
        <w:shd w:val="clear" w:color="auto" w:fill="ffffff"/>
        <w:spacing w:before="0" w:after="0" w:line="240" w:lineRule="auto"/>
        <w:ind w:left="0" w:right="0" w:firstLine="703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Пункт 34 Правил. В случае повреждения магистрального газопровода или обнаружения утечки газа в процессе выполнения работ, лица, выполняющие работы, и технические средства должны быть немедленно выведены за пределы опасной территории, а собственник магистрального газопровода или организация, эксплуатирующая магистральный газопровод, извещены о происшествии.</w:t>
      </w:r>
    </w:p>
    <w:p>
      <w:pPr>
        <w:pStyle w:val="style5"/>
        <w:spacing w:before="0" w:after="0" w:line="240" w:lineRule="auto"/>
        <w:ind w:left="0" w:right="0" w:firstLine="703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До прибытия представителей собственника магистрального газопровода или организации, эксплуатирующей магистральный газопровод, лицо, ответственное за производство работ, должно принять меры, предупреждающие доступ в опасную зону посторонних лиц и транспортных средств. </w:t>
      </w:r>
    </w:p>
    <w:p>
      <w:pPr>
        <w:pStyle w:val="style5"/>
        <w:spacing w:before="0" w:after="0" w:line="240" w:lineRule="auto"/>
        <w:ind w:left="0" w:right="0" w:firstLine="703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Пункт 35 Правил. Лица, выполняющие осмотр или обслуживание инженерных коммуникаций и объектов, находящихся в районе прохождения магистрального газопровода, а также иные лица, обнаружившие повреждение магистрального газопровода или выход (утечку) транспортируемого газа, обязаны немедленно сообщить об этом собственнику магистрального газопровода или организации, эксплуатирующей соответствующий магистральный газопровод.</w:t>
      </w:r>
    </w:p>
    <w:p>
      <w:pPr>
        <w:pStyle w:val="style5"/>
        <w:spacing w:before="0" w:after="0" w:line="240" w:lineRule="auto"/>
        <w:ind w:left="0" w:right="0" w:firstLine="703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 </w:t>
        <w:t xml:space="preserve">Пункт 22 Правил. При проектировании, строительстве и реконструкции зданий, строений и сооружений, должны соблюдаться минимальные расстояния от указанных объектов до магистрального газопровода, предусмотренные нормативными документами в области технического регулирования. </w:t>
      </w:r>
    </w:p>
    <w:p>
      <w:pPr>
        <w:pStyle w:val="style5"/>
        <w:spacing w:before="0" w:after="0" w:line="240" w:lineRule="auto"/>
        <w:ind w:left="0" w:right="0" w:firstLine="703"/>
        <w:jc w:val="both"/>
      </w:pPr>
      <w:r>
        <w:rPr>
          <w:rFonts w:eastAsia="Times New Roman" w:cs="Times New Roman"/>
          <w:color w:val="000000"/>
          <w:sz w:val="24"/>
          <w:szCs w:val="24"/>
          <w:lang w:val="ru-RU" w:eastAsia="zh-CN" w:bidi="ar-SA"/>
        </w:rPr>
        <w:t xml:space="preserve">Минимальные расстояния от оси подземных и наземных трубопроводов, газораспределительных станций, до населенных пунктов, отдельных промышленных и сельскохозяйственных предприятий, зданий и сооружений установлены п. 7.15 и п. 7.16 СП 36.13330.2012 Свод правил. Магистральные трубопроводы. Актуализированная </w:t>
      </w:r>
      <w:r>
        <w:rPr>
          <w:rFonts w:eastAsia="Times New Roman" w:cs="Times New Roman"/>
          <w:color w:val="000000"/>
          <w:sz w:val="24"/>
          <w:szCs w:val="24"/>
        </w:rPr>
        <w:t xml:space="preserve">редакция СНиП 2.05.06-85* в зависимости от класса и диаметра трубы газопровода:</w:t>
      </w:r>
    </w:p>
    <w:p>
      <w:pPr>
        <w:pStyle w:val="style5"/>
        <w:spacing w:before="0" w:after="0" w:line="240" w:lineRule="auto"/>
        <w:ind w:left="0" w:right="0" w:firstLine="703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>
      <w:pPr>
        <w:pStyle w:val="style5"/>
        <w:spacing w:before="0" w:after="0" w:line="240" w:lineRule="auto"/>
        <w:ind w:left="0" w:right="0" w:firstLine="0"/>
        <w:jc w:val="both"/>
      </w:pPr>
      <w:r>
        <w:rPr>
          <w:rFonts w:eastAsia="Times New Roman" w:cs="Times New Roman"/>
          <w:color w:val="000000"/>
          <w:sz w:val="24"/>
          <w:szCs w:val="24"/>
        </w:rPr>
        <w:t xml:space="preserve">- для газопровода до 300 мм - 100 м; </w:t>
        <w:tab/>
        <w:br/>
      </w:r>
      <w:r>
        <w:rPr>
          <w:rFonts w:eastAsia="Times New Roman" w:cs="Times New Roman"/>
          <w:color w:val="000000"/>
          <w:sz w:val="24"/>
          <w:szCs w:val="24"/>
        </w:rPr>
        <w:t xml:space="preserve">- для газопровода от 300 мм до 600 мм - 150 м;</w:t>
        <w:tab/>
        <w:br/>
      </w:r>
      <w:r>
        <w:rPr>
          <w:rFonts w:eastAsia="Times New Roman" w:cs="Times New Roman"/>
          <w:color w:val="000000"/>
          <w:sz w:val="24"/>
          <w:szCs w:val="24"/>
        </w:rPr>
        <w:t xml:space="preserve">- для ГРС с диаметром трубы до 300 мм - 150 м.</w:t>
      </w:r>
    </w:p>
    <w:p>
      <w:pPr>
        <w:pStyle w:val="style5"/>
        <w:spacing w:before="0" w:after="0" w:line="240" w:lineRule="auto"/>
        <w:ind w:left="0" w:right="0" w:firstLine="0"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>
      <w:pPr>
        <w:pStyle w:val="style5"/>
        <w:spacing w:before="0" w:after="0" w:line="240" w:lineRule="auto"/>
        <w:ind w:left="0" w:right="0" w:firstLine="703"/>
        <w:jc w:val="both"/>
      </w:pPr>
      <w:r>
        <w:rPr>
          <w:rFonts w:eastAsia="Times New Roman" w:cs="Times New Roman"/>
          <w:color w:val="000000"/>
          <w:sz w:val="24"/>
          <w:szCs w:val="24"/>
          <w:lang w:val="ru-RU" w:eastAsia="zh-CN" w:bidi="ar-SA"/>
        </w:rPr>
        <w:t xml:space="preserve">В соответствии с требованиями ч. 21 ст. 26 </w:t>
      </w:r>
      <w:hyperlink r:id="rId12">
        <w:r>
          <w:rPr>
            <w:rStyle w:val="style95"/>
          </w:rPr>
        </w:r>
        <w:r>
          <w:rPr>
            <w:rStyle w:val="style95"/>
          </w:rPr>
          <w:t xml:space="preserve">Федерального закона от 03.08.2018 </w:t>
          <w:t xml:space="preserve">           </w:t>
          <w:t xml:space="preserve">N 342-ФЗ "О внесении изменений в Градостроительный кодекс Российской Федерации и отдельные законодательные акты Российской Федерации"</w:t>
        </w:r>
      </w:hyperlink>
      <w:r>
        <w:rPr>
          <w:rFonts w:eastAsia="Times New Roman" w:cs="Times New Roman"/>
          <w:color w:val="000000"/>
          <w:sz w:val="24"/>
          <w:szCs w:val="24"/>
          <w:lang w:val="ru-RU" w:eastAsia="zh-CN" w:bidi="ar-SA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  <w:lang w:val="ru-RU" w:eastAsia="zh-CN" w:bidi="ar-SA"/>
        </w:rPr>
        <w:t xml:space="preserve">До дня установления зоны минимальных расстояний до магистральных или промышленных трубопроводов (газопроводов, нефтепроводов и нефтепродуктопроводов, аммиакопроводов) в соответствии со </w:t>
      </w:r>
      <w:hyperlink r:id="rId13">
        <w:r>
          <w:rPr>
            <w:rStyle w:val="style95"/>
          </w:rPr>
        </w:r>
        <w:r>
          <w:rPr>
            <w:rStyle w:val="style95"/>
          </w:rPr>
          <w:t xml:space="preserve">статьей 106</w:t>
        </w:r>
      </w:hyperlink>
      <w:r>
        <w:rPr>
          <w:rFonts w:eastAsia="Times New Roman" w:cs="Times New Roman"/>
          <w:color w:val="000000"/>
          <w:sz w:val="24"/>
          <w:szCs w:val="24"/>
          <w:lang w:val="ru-RU" w:eastAsia="zh-CN" w:bidi="ar-SA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  <w:lang w:val="ru-RU" w:eastAsia="zh-CN" w:bidi="ar-SA"/>
        </w:rPr>
        <w:t xml:space="preserve">Земельного кодекса Российской Федерации (в редакции настоящего Федерального закона) и с утвержденным Правительством Российской Федерации положением о такой зоне строительство, реконструкция зданий, сооружений в границах минимальных расстояний до указанных трубопроводов допускаются только по согласованию с организацией - собственником системы газоснабжения, собственником нефтепровода, собственником нефтепродуктопровода, собственником аммиакопровода или уполномоченной ими организацией.</w:t>
      </w:r>
    </w:p>
    <w:p>
      <w:pPr>
        <w:pStyle w:val="style5"/>
        <w:tabs>
          <w:tab w:val="left" w:pos="709"/>
        </w:tabs>
        <w:ind w:left="0" w:right="0" w:firstLine="709"/>
        <w:jc w:val="both"/>
      </w:pPr>
      <w:r>
        <w:rPr>
          <w:rFonts w:eastAsia="Times New Roman" w:cs="Times New Roman"/>
          <w:b w:val="0"/>
          <w:i w:val="0"/>
          <w:caps w:val="0"/>
          <w:smallCaps w:val="0"/>
          <w:color w:val="000000"/>
          <w:spacing w:val="0"/>
          <w:sz w:val="24"/>
          <w:szCs w:val="24"/>
          <w:shd w:val="clear" w:color="auto" w:fill="ffffff"/>
          <w:lang w:val="ru-RU" w:eastAsia="ru-RU" w:bidi="ar-SA"/>
        </w:rPr>
        <w:t xml:space="preserve">Согласно п. 1.3.28 раздела 7.1. Химические объекты и производства 3 класса Санитарной классификации промышленных объектов и производств СанПиНа 2.2.1/2.1.1.1200-03 «Санитарно-защитные зоны и санитарная классификация предприятий, сооружений и иных объектов» (утв. Постановлением Главного государственного санитарного врача РФ от 25 сентября 2007 г. №74) газораспределительные станции магистральных газопроводов с одоризационными установками меркаптана относятся к промышленным объектам и производствам третьего класса с ориентировочной СЗЗ 300 м. </w:t>
      </w:r>
      <w:r>
        <w:rPr>
          <w:rFonts w:eastAsia="Times New Roman" w:cs="Times New Roman"/>
          <w:b w:val="0"/>
          <w:i w:val="0"/>
          <w:caps w:val="0"/>
          <w:smallCaps w:val="0"/>
          <w:color w:val="000000"/>
          <w:spacing w:val="0"/>
          <w:sz w:val="24"/>
          <w:szCs w:val="24"/>
          <w:shd w:val="clear" w:color="auto" w:fill="ffffff"/>
          <w:lang w:val="ru-RU" w:eastAsia="ru-RU" w:bidi="ar-SA"/>
        </w:rPr>
        <w:t xml:space="preserve">Согласно разделу V. «Режим территории санитарно-защитной зоны» - в санитарно-защитной зоне не допускается размещать: жилую застройку, включая отдельные жилые дома, ландшафтно-рекреационные зоны, зоны отдыха, территории курортов, санаториев и домов отдыха, территорий садоводческих товариществ и коттеджной застройки, коллективных или индивидуальных дачных и садово-огородных участков, а также других территорий с нормируемыми показателями качества среды обитания; спортивные сооружения, детские площадки, образовательные и детские учреждения, лечебно-профилактические и оздоровительные учреждения общего пользования.</w:t>
      </w:r>
    </w:p>
    <w:p>
      <w:pPr>
        <w:pStyle w:val="style5"/>
        <w:spacing w:before="0" w:after="0" w:line="240" w:lineRule="auto"/>
        <w:ind w:left="0" w:right="0" w:firstLine="703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zh-CN" w:bidi="ar-SA"/>
        </w:rPr>
      </w:pPr>
    </w:p>
    <w:p>
      <w:pPr>
        <w:pStyle w:val="style5"/>
        <w:spacing w:before="0" w:after="0" w:line="240" w:lineRule="auto"/>
        <w:ind w:left="0" w:right="0" w:firstLine="703"/>
        <w:jc w:val="both"/>
        <w:rPr>
          <w:rFonts w:eastAsia="Times New Roman" w:cs="Times New Roman"/>
          <w:b/>
          <w:i/>
          <w:color w:val="000000"/>
          <w:sz w:val="24"/>
          <w:szCs w:val="24"/>
        </w:rPr>
      </w:pPr>
      <w:r>
        <w:rPr>
          <w:rFonts w:eastAsia="Times New Roman" w:cs="Times New Roman"/>
          <w:b/>
          <w:i/>
          <w:color w:val="000000"/>
          <w:sz w:val="24"/>
          <w:szCs w:val="24"/>
        </w:rPr>
        <w:t xml:space="preserve">Предприятие трубопроводного транспорта имеет право приостановить работы, выполняемые с нарушениями требований настоящих Правил и минимальных расстояний от трубопровода до объектов различного назначения, установленных действующими строительными нормами и правилами по проектированию магистральных трубопроводов (п.5.13 Правил охраны магистральных трубопроводов,утвержденные постановлением Госгортехнадзора России от 24.04.92 № 9).</w:t>
      </w:r>
    </w:p>
    <w:p>
      <w:pPr>
        <w:pStyle w:val="style5"/>
        <w:spacing w:before="0" w:after="0" w:line="240" w:lineRule="auto"/>
        <w:ind w:left="0" w:right="0" w:firstLine="703"/>
        <w:jc w:val="both"/>
        <w:rPr>
          <w:rFonts w:eastAsia="Times New Roman" w:cs="Times New Roman"/>
          <w:b/>
          <w:i/>
          <w:color w:val="000000"/>
          <w:sz w:val="24"/>
          <w:szCs w:val="24"/>
        </w:rPr>
      </w:pPr>
      <w:r>
        <w:rPr>
          <w:rFonts w:eastAsia="Times New Roman" w:cs="Times New Roman"/>
          <w:b/>
          <w:i/>
          <w:color w:val="000000"/>
          <w:sz w:val="24"/>
          <w:szCs w:val="24"/>
        </w:rPr>
        <w:t xml:space="preserve">Собственник магистрального газопровода или организация, эксплуатирующая магистральный газопровод, вправе требовать приостановления работ, выполняемых организациями или физическими лицами с нарушением требований настоящих Правил, до устранения таких нарушений допустившими их организациями или физическими лицами (п.36 Правил охраны магистральных газопроводов, утвержденных Постановлением Правительства Российской Федерации от 08.09.2017</w:t>
        <w:br/>
        <w:t xml:space="preserve"> № 1083 .</w:t>
      </w:r>
    </w:p>
    <w:p>
      <w:pPr>
        <w:pStyle w:val="style5"/>
        <w:spacing w:before="0" w:after="0" w:line="240" w:lineRule="auto"/>
        <w:ind w:left="0" w:right="0" w:firstLine="703"/>
        <w:jc w:val="both"/>
        <w:rPr>
          <w:rFonts w:eastAsia="Times New Roman" w:cs="Times New Roman"/>
          <w:b/>
          <w:i/>
          <w:color w:val="000000"/>
          <w:sz w:val="24"/>
          <w:szCs w:val="24"/>
        </w:rPr>
      </w:pPr>
      <w:r>
        <w:rPr>
          <w:rFonts w:eastAsia="Times New Roman" w:cs="Times New Roman"/>
          <w:b/>
          <w:i/>
          <w:color w:val="000000"/>
          <w:sz w:val="24"/>
          <w:szCs w:val="24"/>
        </w:rPr>
        <w:t xml:space="preserve">Правила являются обязательными для исполнения предприятиями трубопроводного транспорта, местными органами власти и управления, а также другими предприятиями, организациями и гражданами, производящими работы или какие-либо действия в районе прохождения трубопроводов(п.1.3 Правил охраны магистральных трубопроводов, утвержденные постановлением Госгортехнадзора России от 24.04.92 № 9).</w:t>
      </w:r>
    </w:p>
    <w:p>
      <w:pPr>
        <w:pStyle w:val="style5"/>
        <w:spacing w:before="0" w:after="0" w:line="240" w:lineRule="auto"/>
        <w:ind w:left="0" w:right="0" w:firstLine="703"/>
        <w:jc w:val="both"/>
        <w:rPr>
          <w:rFonts w:eastAsia="Times New Roman" w:cs="Times New Roman"/>
          <w:b/>
          <w:i/>
          <w:color w:val="333333"/>
          <w:sz w:val="24"/>
          <w:szCs w:val="24"/>
        </w:rPr>
      </w:pPr>
      <w:r>
        <w:rPr>
          <w:rFonts w:eastAsia="Times New Roman" w:cs="Times New Roman"/>
          <w:b/>
          <w:i/>
          <w:color w:val="333333"/>
          <w:sz w:val="24"/>
          <w:szCs w:val="24"/>
        </w:rPr>
        <w:t xml:space="preserve">Охранная зона (ОЗ) необходима для исключения возможных случаев повреждения газопроводов и ГРС (газораспределительные станции) от воздействия населения. Зона минимальных расстояний (ЗМР) необходима для обеспечения безопасности населения, то есть для защиты от воздействия самого особо опасного объекта на население в случае возникновения аварии.</w:t>
      </w:r>
    </w:p>
    <w:p>
      <w:pPr>
        <w:pStyle w:val="style7"/>
        <w:tabs>
          <w:tab w:val="left" w:pos="566"/>
          <w:tab w:val="left" w:pos="709"/>
          <w:tab w:val="left" w:pos="850"/>
          <w:tab w:val="left" w:pos="1133"/>
        </w:tabs>
        <w:spacing w:before="0" w:after="0" w:line="240" w:lineRule="auto"/>
        <w:ind w:left="0" w:right="0" w:firstLine="0"/>
        <w:jc w:val="center"/>
      </w:pPr>
      <w:r>
        <w:rPr>
          <w:sz w:val="24"/>
          <w:szCs w:val="24"/>
        </w:rPr>
        <w:tab/>
      </w:r>
      <w:r>
        <w:rPr>
          <w:sz w:val="24"/>
          <w:szCs w:val="24"/>
        </w:rPr>
      </w:r>
    </w:p>
    <w:p>
      <w:pPr>
        <w:pStyle w:val="style7"/>
        <w:tabs>
          <w:tab w:val="left" w:pos="566"/>
          <w:tab w:val="left" w:pos="709"/>
          <w:tab w:val="left" w:pos="850"/>
          <w:tab w:val="left" w:pos="1133"/>
        </w:tabs>
        <w:spacing w:before="0" w:after="0" w:line="240" w:lineRule="auto"/>
        <w:ind w:left="0" w:right="0" w:firstLine="0"/>
        <w:jc w:val="center"/>
      </w:pPr>
      <w:r>
        <w:rPr>
          <w:rFonts w:cs="Times New Roman"/>
          <w:b/>
          <w:color w:val="333333"/>
          <w:sz w:val="24"/>
          <w:szCs w:val="24"/>
        </w:rPr>
        <w:t xml:space="preserve">Ответственность за нарушение требований Правил охраны магистральных газопроводов</w:t>
      </w:r>
      <w:r>
        <w:rPr>
          <w:rFonts w:cs="Times New Roman"/>
          <w:b/>
          <w:color w:val="333333"/>
          <w:sz w:val="24"/>
          <w:szCs w:val="24"/>
        </w:rPr>
      </w:r>
    </w:p>
    <w:p>
      <w:pPr>
        <w:pStyle w:val="style53"/>
        <w:tabs>
          <w:tab w:val="left" w:pos="709"/>
        </w:tabs>
        <w:spacing w:before="0" w:after="0" w:line="240" w:lineRule="auto"/>
        <w:ind w:left="0" w:right="0" w:firstLine="70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Статья 11.20.1 КоАП РФ. Нарушение запретов либо несоблюдение порядка выполнения работ в охранных зонах магистральных трубопроводов.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style53"/>
        <w:tabs>
          <w:tab w:val="left" w:pos="709"/>
        </w:tabs>
        <w:spacing w:before="0" w:after="0" w:line="240" w:lineRule="auto"/>
        <w:ind w:left="0" w:right="0" w:firstLine="70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Совершение в охранных зонах магистральных трубопроводов действий, запрещённых законодательством Российской Федерации, либо выполнение в охранных зонах магистральных трубопроводов работ без соответствующего разрешения предприятия трубопроводного транспорта или без его уведомления влечёт наложение административного штрафа: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style53"/>
        <w:tabs>
          <w:tab w:val="left" w:pos="709"/>
        </w:tabs>
        <w:spacing w:before="0" w:after="0" w:line="240" w:lineRule="auto"/>
        <w:ind w:left="0" w:right="0" w:firstLine="70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- </w:t>
        <w:t xml:space="preserve"> </w:t>
        <w:t xml:space="preserve">на граждан в размере от пятидесяти тысяч до ста тысяч рублей;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style53"/>
        <w:tabs>
          <w:tab w:val="left" w:pos="709"/>
        </w:tabs>
        <w:spacing w:before="0" w:after="0" w:line="240" w:lineRule="auto"/>
        <w:ind w:left="0" w:right="0" w:firstLine="70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- </w:t>
        <w:t xml:space="preserve"> </w:t>
        <w:t xml:space="preserve">на должностных лиц - от пятисот тысяч до восьмисот тысяч рублей;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style53"/>
        <w:tabs>
          <w:tab w:val="left" w:pos="709"/>
        </w:tabs>
        <w:spacing w:before="0" w:after="0" w:line="240" w:lineRule="auto"/>
        <w:ind w:left="0" w:right="0" w:firstLine="70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- на лиц, осуществляющих предпринимательскую деятельность без образования юридического лица, - от пятисот тысяч до восьмисот тысяч рублей или административное приостановление деятельности на срок до девяноста суток;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style53"/>
        <w:tabs>
          <w:tab w:val="left" w:pos="709"/>
        </w:tabs>
        <w:spacing w:before="0" w:after="0" w:line="240" w:lineRule="auto"/>
        <w:ind w:left="0" w:right="0" w:firstLine="70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- на юридических лиц - от пятисот тысяч до двух миллионов пятисот тысяч рублей или административное приостановление деятельности на срок до девяноста суток.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style53"/>
        <w:tabs>
          <w:tab w:val="left" w:pos="709"/>
        </w:tabs>
        <w:spacing w:line="240" w:lineRule="auto"/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style53"/>
        <w:tabs>
          <w:tab w:val="left" w:pos="709"/>
        </w:tabs>
        <w:spacing w:line="240" w:lineRule="auto"/>
        <w:ind w:left="0" w:right="0" w:firstLine="0"/>
        <w:jc w:val="both"/>
        <w:rPr>
          <w:rFonts w:ascii="Times New Roman" w:hAnsi="Times New Roman" w:cs="Times New Roman"/>
          <w:vanish/>
          <w:sz w:val="24"/>
          <w:szCs w:val="24"/>
        </w:rPr>
      </w:pPr>
    </w:p>
    <w:p>
      <w:pPr>
        <w:pStyle w:val="style53"/>
        <w:tabs>
          <w:tab w:val="left" w:pos="709"/>
        </w:tabs>
        <w:spacing w:line="240" w:lineRule="auto"/>
        <w:ind w:left="0" w:right="0" w:firstLine="703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Комментарии к статье 11.20.1 КоАП РФ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style5"/>
        <w:shd w:val="clear" w:color="auto" w:fill="ffffff"/>
        <w:tabs>
          <w:tab w:val="left" w:pos="709"/>
        </w:tabs>
        <w:spacing w:before="0" w:after="0" w:line="240" w:lineRule="auto"/>
        <w:ind w:left="0" w:right="0" w:firstLine="703"/>
        <w:jc w:val="both"/>
      </w:pPr>
      <w:r>
        <w:rPr>
          <w:rFonts w:cs="Times New Roman"/>
          <w:b/>
          <w:i/>
          <w:color w:val="333333"/>
          <w:sz w:val="24"/>
          <w:szCs w:val="24"/>
          <w:u w:val="single"/>
        </w:rPr>
        <w:t xml:space="preserve">Комментируемая статья введена Федеральным законом от 12.03.2014 N 31-Ф</w:t>
      </w:r>
      <w:r>
        <w:rPr>
          <w:rFonts w:cs="Times New Roman"/>
          <w:b/>
          <w:bCs/>
          <w:i/>
          <w:color w:val="333333"/>
          <w:sz w:val="24"/>
          <w:szCs w:val="24"/>
          <w:u w:val="none"/>
        </w:rPr>
        <w:t xml:space="preserve">З </w:t>
        <w:br/>
        <w:t xml:space="preserve">и содержит административное наказание за нарушение запретов либо несоблюдение порядка выполнения работ в охранных зонах магистральных трубопроводов. Правила охраны магистральных трубопроводов определяют требования к обустройству трасс трубопроводов, порядку определения границ охранных зон магистральных трубопроводов, условиям использования земельных участков в границах охранных зон магистральных трубопроводов, порядку организации и производства работ в охранных зонах трубопроводов, права и обязанности эксплуатационных организаций в области обеспечения сохранности опасных производственных объектов, предотвращения аварий на магистральных трубопроводах и ликвидации их последствий.</w:t>
      </w:r>
    </w:p>
    <w:p>
      <w:pPr>
        <w:pStyle w:val="style5"/>
        <w:tabs>
          <w:tab w:val="left" w:pos="566"/>
        </w:tabs>
        <w:spacing w:before="0" w:after="0" w:line="240" w:lineRule="auto"/>
        <w:ind w:left="0" w:right="0" w:firstLine="709"/>
        <w:jc w:val="both"/>
      </w:pPr>
      <w:r>
        <w:rPr>
          <w:rFonts w:eastAsia="Calibri" w:cs="Times New Roman"/>
          <w:sz w:val="24"/>
          <w:szCs w:val="24"/>
          <w:lang w:eastAsia="zh-CN"/>
        </w:rPr>
        <w:t xml:space="preserve">При возникновении дополнительных вопросов необходимо обращаться в </w:t>
        <w:t xml:space="preserve">                              </w:t>
      </w:r>
      <w:r>
        <w:rPr>
          <w:rFonts w:ascii="Liberation Serif" w:hAnsi="Liberation Serif" w:eastAsia="Calibri" w:cs="Times New Roman"/>
          <w:sz w:val="24"/>
          <w:szCs w:val="24"/>
          <w:lang w:eastAsia="zh-CN"/>
        </w:rPr>
        <w:t xml:space="preserve">О</w:t>
      </w:r>
      <w:r>
        <w:rPr>
          <w:rFonts w:ascii="Liberation Serif" w:hAnsi="Liberation Serif"/>
        </w:rPr>
        <w:t xml:space="preserve">ОО «ЧТГ»</w:t>
      </w:r>
      <w:r>
        <w:rPr>
          <w:rFonts w:eastAsia="Calibri" w:cs="Times New Roman"/>
          <w:sz w:val="24"/>
          <w:szCs w:val="24"/>
          <w:lang w:eastAsia="zh-CN"/>
        </w:rPr>
        <w:t xml:space="preserve"> по адресу:</w:t>
      </w:r>
    </w:p>
    <w:p>
      <w:pPr>
        <w:pStyle w:val="style5"/>
        <w:tabs>
          <w:tab w:val="left" w:pos="566"/>
        </w:tabs>
        <w:spacing w:before="0" w:after="0" w:line="240" w:lineRule="auto"/>
        <w:ind w:left="0" w:right="0" w:firstLine="709"/>
        <w:jc w:val="both"/>
      </w:pPr>
      <w:r>
        <w:rPr>
          <w:rFonts w:eastAsia="Calibri" w:cs="Times New Roman"/>
          <w:sz w:val="24"/>
          <w:szCs w:val="24"/>
          <w:lang w:eastAsia="zh-CN"/>
        </w:rPr>
        <w:t xml:space="preserve">295000, РФ, Республика Крым, </w:t>
      </w:r>
      <w:r>
        <w:rPr>
          <w:rFonts w:eastAsia="Calibri" w:cs="Times New Roman"/>
          <w:sz w:val="24"/>
          <w:szCs w:val="24"/>
          <w:lang w:eastAsia="zh-CN"/>
        </w:rPr>
      </w:r>
    </w:p>
    <w:p>
      <w:pPr>
        <w:pStyle w:val="style5"/>
        <w:tabs>
          <w:tab w:val="left" w:pos="566"/>
        </w:tabs>
        <w:spacing w:before="0" w:after="0" w:line="240" w:lineRule="auto"/>
        <w:ind w:left="0" w:right="0" w:firstLine="709"/>
        <w:jc w:val="both"/>
      </w:pPr>
      <w:r>
        <w:rPr>
          <w:rFonts w:eastAsia="Calibri" w:cs="Times New Roman"/>
          <w:sz w:val="24"/>
          <w:szCs w:val="24"/>
          <w:lang w:eastAsia="zh-CN"/>
        </w:rPr>
        <w:t xml:space="preserve">г. Симферополь, проспект Кирова д. 52</w:t>
      </w:r>
      <w:r>
        <w:rPr>
          <w:rFonts w:eastAsia="Calibri" w:cs="Times New Roman"/>
          <w:sz w:val="24"/>
          <w:szCs w:val="24"/>
          <w:lang w:eastAsia="zh-CN"/>
        </w:rPr>
      </w:r>
    </w:p>
    <w:p>
      <w:pPr>
        <w:pStyle w:val="style5"/>
        <w:tabs>
          <w:tab w:val="left" w:pos="566"/>
        </w:tabs>
        <w:spacing w:before="0" w:after="0" w:line="240" w:lineRule="auto"/>
        <w:ind w:left="0" w:right="0" w:firstLine="709"/>
        <w:jc w:val="both"/>
      </w:pPr>
      <w:r>
        <w:rPr>
          <w:rFonts w:eastAsia="Calibri" w:cs="Times New Roman"/>
          <w:sz w:val="24"/>
          <w:szCs w:val="24"/>
          <w:lang w:eastAsia="zh-CN"/>
        </w:rPr>
        <w:t xml:space="preserve">Тел</w:t>
      </w:r>
      <w:r>
        <w:rPr>
          <w:rFonts w:eastAsia="Calibri" w:cs="Times New Roman"/>
          <w:sz w:val="24"/>
          <w:szCs w:val="24"/>
          <w:lang w:val="en-US" w:eastAsia="zh-CN"/>
        </w:rPr>
        <w:t xml:space="preserve">: +73652-66-78-00, +73652 66-70-00,</w:t>
      </w:r>
    </w:p>
    <w:p>
      <w:pPr>
        <w:pStyle w:val="style5"/>
        <w:tabs>
          <w:tab w:val="left" w:pos="566"/>
        </w:tabs>
        <w:spacing w:before="0" w:after="0" w:line="240" w:lineRule="auto"/>
        <w:ind w:left="0" w:right="0" w:firstLine="709"/>
        <w:jc w:val="both"/>
      </w:pPr>
      <w:r>
        <w:rPr>
          <w:rFonts w:eastAsia="Calibri" w:cs="Times New Roman"/>
          <w:sz w:val="24"/>
          <w:szCs w:val="24"/>
          <w:lang w:val="en-US" w:eastAsia="zh-CN"/>
        </w:rPr>
        <w:t xml:space="preserve">E-Mail: сhtg@gas.crimea.ru </w:t>
      </w:r>
      <w:r>
        <w:rPr>
          <w:rFonts w:eastAsia="Calibri" w:cs="Times New Roman"/>
          <w:sz w:val="24"/>
          <w:szCs w:val="24"/>
          <w:lang w:val="en-US" w:eastAsia="zh-CN"/>
        </w:rPr>
      </w:r>
    </w:p>
    <w:p>
      <w:pPr>
        <w:pStyle w:val="style5"/>
        <w:tabs>
          <w:tab w:val="left" w:pos="566"/>
        </w:tabs>
        <w:spacing w:before="0" w:after="0" w:line="240" w:lineRule="auto"/>
        <w:ind w:left="0" w:right="0" w:firstLine="709"/>
        <w:jc w:val="both"/>
        <w:rPr>
          <w:rFonts w:ascii="Times New Roman" w:hAnsi="Times New Roman" w:eastAsia="Calibri" w:cs="Times New Roman"/>
          <w:sz w:val="24"/>
          <w:szCs w:val="24"/>
          <w:lang w:val="en-US" w:eastAsia="zh-CN"/>
        </w:rPr>
      </w:pPr>
    </w:p>
    <w:p>
      <w:pPr>
        <w:pStyle w:val="style5"/>
        <w:tabs>
          <w:tab w:val="left" w:pos="566"/>
        </w:tabs>
        <w:spacing w:before="0" w:after="0" w:line="240" w:lineRule="auto"/>
        <w:ind w:left="0" w:right="0" w:firstLine="709"/>
        <w:jc w:val="both"/>
      </w:pPr>
      <w:r>
        <w:rPr>
          <w:rFonts w:eastAsia="Calibri" w:cs="Times New Roman"/>
          <w:sz w:val="24"/>
          <w:szCs w:val="24"/>
          <w:lang w:eastAsia="zh-CN"/>
        </w:rPr>
        <w:t xml:space="preserve">О случаях выявления утечек газа, повреждений газопроводов или нарушений охранных зон необходимо сообщать диспетчеру ЛПУМГ ООО «ЧТГ» (круглосуточно).</w:t>
      </w:r>
      <w:r>
        <w:rPr>
          <w:rFonts w:eastAsia="Calibri" w:cs="Times New Roman"/>
          <w:sz w:val="24"/>
          <w:szCs w:val="24"/>
          <w:lang w:eastAsia="zh-CN"/>
        </w:rPr>
      </w:r>
    </w:p>
    <w:p>
      <w:pPr>
        <w:pStyle w:val="style5"/>
        <w:tabs>
          <w:tab w:val="left" w:pos="566"/>
        </w:tabs>
        <w:spacing w:before="0" w:after="0" w:line="240" w:lineRule="auto"/>
        <w:ind w:left="0" w:right="0" w:firstLine="709"/>
        <w:jc w:val="both"/>
      </w:pPr>
      <w:r>
        <w:rPr>
          <w:rFonts w:eastAsia="Calibri" w:cs="Times New Roman"/>
          <w:sz w:val="24"/>
          <w:szCs w:val="24"/>
          <w:lang w:eastAsia="zh-CN"/>
        </w:rPr>
        <w:t xml:space="preserve">+73652 22-12-63 - </w:t>
        <w:t xml:space="preserve"> </w:t>
        <w:t xml:space="preserve">для стационарных телефонов; </w:t>
        <w:t xml:space="preserve">  </w:t>
      </w:r>
      <w:r>
        <w:rPr>
          <w:rFonts w:eastAsia="Calibri" w:cs="Times New Roman"/>
          <w:sz w:val="24"/>
          <w:szCs w:val="24"/>
          <w:lang w:eastAsia="zh-CN"/>
        </w:rPr>
      </w:r>
    </w:p>
    <w:p>
      <w:pPr>
        <w:pStyle w:val="style5"/>
        <w:tabs>
          <w:tab w:val="left" w:pos="566"/>
        </w:tabs>
        <w:spacing w:before="0" w:after="0" w:line="240" w:lineRule="auto"/>
        <w:ind w:left="0" w:right="0" w:firstLine="709"/>
        <w:jc w:val="both"/>
      </w:pPr>
      <w:r>
        <w:rPr>
          <w:rFonts w:eastAsia="Calibri" w:cs="Times New Roman"/>
          <w:sz w:val="24"/>
          <w:szCs w:val="24"/>
          <w:lang w:eastAsia="zh-CN"/>
        </w:rPr>
        <w:t xml:space="preserve">+7978-077-52-25; +7978-077-50-05 - для мобильных телефонов.</w:t>
      </w:r>
      <w:r>
        <w:rPr>
          <w:rFonts w:eastAsia="Calibri" w:cs="Times New Roman"/>
          <w:sz w:val="24"/>
          <w:szCs w:val="24"/>
          <w:lang w:eastAsia="zh-CN"/>
        </w:rPr>
      </w:r>
    </w:p>
    <w:p>
      <w:pPr>
        <w:pStyle w:val="style5"/>
        <w:tabs>
          <w:tab w:val="left" w:pos="566"/>
        </w:tabs>
        <w:spacing w:before="0" w:after="0" w:line="240" w:lineRule="auto"/>
        <w:ind w:left="0" w:right="0" w:firstLine="0"/>
        <w:jc w:val="both"/>
        <w:rPr>
          <w:rFonts w:ascii="Times New Roman" w:hAnsi="Times New Roman" w:eastAsia="Times New Roman" w:cs="Times New Roman"/>
          <w:color w:val="000000"/>
          <w:u w:val="none"/>
          <w:shd w:val="clear" w:color="auto" w:fill="ffff00"/>
          <w:lang w:val="ru-RU" w:eastAsia="zh-CN" w:bidi="ar-SA"/>
        </w:rPr>
      </w:pPr>
    </w:p>
    <w:sectPr>
      <w:type w:val="nextPage"/>
      <w:pgSz w:w="11905" w:h="16837" w:orient="portrait"/>
      <w:pgMar w:top="1146" w:right="890" w:bottom="1463" w:left="1662" w:header="1146" w:footer="1463" w:gutter="0"/>
      <w:cols w:num="1" w:sep="0" w:space="708" w:equalWidth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ymbol">
    <w:panose1 w:val="05010000000000000000"/>
  </w:font>
  <w:font w:name="Wingdings">
    <w:panose1 w:val="05010000000000000000"/>
  </w:font>
  <w:font w:name="Calibri">
    <w:panose1 w:val="020F0502020204030204"/>
  </w:font>
  <w:font w:name="Lucida Sans Unicode">
    <w:panose1 w:val="020B0603030804020204"/>
  </w:font>
  <w:font w:name="Arial">
    <w:panose1 w:val="020B0604020202020204"/>
  </w:font>
  <w:font w:name="Courier New">
    <w:panose1 w:val="02070309020205020404"/>
  </w:font>
  <w:font w:name="Mangal">
    <w:panose1 w:val="02040503050406030204"/>
  </w:font>
  <w:font w:name="Lohit Devanagari">
    <w:panose1 w:val="020B0600000000000000"/>
  </w:font>
  <w:font w:name="Tahoma">
    <w:panose1 w:val="020B0604030504040204"/>
  </w:font>
  <w:font w:name="Times New Roman">
    <w:panose1 w:val="02020603050405020304"/>
  </w:font>
  <w:font w:name="Cambria">
    <w:panose1 w:val="02040803050406030204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>
    <w:multiLevelType w:val="hybridMultilevel"/>
    <w:lvl w:ilvl="0">
      <w:start w:val="1"/>
      <w:suff w:val="tab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suff w:val="tab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suff w:val="tab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suff w:val="tab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suff w:val="tab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suff w:val="tab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suff w:val="tab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suff w:val="tab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suff w:val="tab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multiLevelType w:val="hybridMultilevel"/>
    <w:lvl w:ilvl="0">
      <w:start w:val="1"/>
      <w:numFmt w:val="decimal"/>
      <w:suff w:val="nothing"/>
      <w:lvlText w:val="%1"/>
      <w:lvlJc w:val="left"/>
      <w:pPr>
        <w:ind w:left="432" w:hanging="432"/>
      </w:pPr>
    </w:lvl>
    <w:lvl w:ilvl="1">
      <w:start w:val="1"/>
      <w:numFmt w:val="decimal"/>
      <w:suff w:val="nothing"/>
      <w:lvlText w:val="%2"/>
      <w:lvlJc w:val="left"/>
      <w:pPr>
        <w:ind w:left="576" w:hanging="576"/>
      </w:pPr>
    </w:lvl>
    <w:lvl w:ilvl="2">
      <w:start w:val="1"/>
      <w:numFmt w:val="decimal"/>
      <w:suff w:val="nothing"/>
      <w:lvlText w:val="%3"/>
      <w:lvlJc w:val="left"/>
      <w:pPr>
        <w:ind w:left="720" w:hanging="720"/>
      </w:pPr>
    </w:lvl>
    <w:lvl w:ilvl="3">
      <w:start w:val="1"/>
      <w:numFmt w:val="decimal"/>
      <w:suff w:val="nothing"/>
      <w:lvlText w:val="%4"/>
      <w:lvlJc w:val="left"/>
      <w:pPr>
        <w:ind w:left="864" w:hanging="864"/>
      </w:pPr>
    </w:lvl>
    <w:lvl w:ilvl="4">
      <w:start w:val="1"/>
      <w:numFmt w:val="decimal"/>
      <w:suff w:val="nothing"/>
      <w:lvlText w:val="%5"/>
      <w:lvlJc w:val="left"/>
      <w:pPr>
        <w:ind w:left="1008" w:hanging="1008"/>
      </w:pPr>
    </w:lvl>
    <w:lvl w:ilvl="5">
      <w:start w:val="1"/>
      <w:numFmt w:val="decimal"/>
      <w:suff w:val="nothing"/>
      <w:lvlText w:val="%6"/>
      <w:lvlJc w:val="left"/>
      <w:pPr>
        <w:ind w:left="1152" w:hanging="1152"/>
      </w:pPr>
    </w:lvl>
    <w:lvl w:ilvl="6">
      <w:start w:val="1"/>
      <w:numFmt w:val="decimal"/>
      <w:suff w:val="nothing"/>
      <w:lvlText w:val="%7"/>
      <w:lvlJc w:val="left"/>
      <w:pPr>
        <w:ind w:left="1296" w:hanging="1296"/>
      </w:pPr>
    </w:lvl>
    <w:lvl w:ilvl="7">
      <w:start w:val="1"/>
      <w:numFmt w:val="decimal"/>
      <w:suff w:val="nothing"/>
      <w:lvlText w:val="%8"/>
      <w:lvlJc w:val="left"/>
      <w:pPr>
        <w:ind w:left="1440" w:hanging="1440"/>
      </w:pPr>
    </w:lvl>
    <w:lvl w:ilvl="8">
      <w:start w:val="1"/>
      <w:numFmt w:val="decimal"/>
      <w:suff w:val="nothing"/>
      <w:lvlText w:val="%9"/>
      <w:lvlJc w:val="left"/>
      <w:pPr>
        <w:ind w:left="1584" w:hanging="1584"/>
      </w:pPr>
    </w:lvl>
  </w:abstractNum>
  <w:abstractNum w:abstractNumId="3">
    <w:multiLevelType w:val="hybridMultilevel"/>
    <w:lvl w:ilvl="0">
      <w:start w:val="1"/>
      <w:numFmt w:val="decimal"/>
      <w:suff w:val="nothing"/>
      <w:lvlText w:val="%1"/>
      <w:lvlJc w:val="left"/>
      <w:pPr>
        <w:ind w:left="432" w:hanging="432"/>
      </w:pPr>
    </w:lvl>
    <w:lvl w:ilvl="1">
      <w:start w:val="1"/>
      <w:numFmt w:val="decimal"/>
      <w:suff w:val="nothing"/>
      <w:lvlText w:val="%2"/>
      <w:lvlJc w:val="left"/>
      <w:pPr>
        <w:ind w:left="576" w:hanging="576"/>
      </w:pPr>
    </w:lvl>
    <w:lvl w:ilvl="2">
      <w:start w:val="1"/>
      <w:numFmt w:val="decimal"/>
      <w:suff w:val="nothing"/>
      <w:lvlText w:val="%3"/>
      <w:lvlJc w:val="left"/>
      <w:pPr>
        <w:ind w:left="720" w:hanging="720"/>
      </w:pPr>
    </w:lvl>
    <w:lvl w:ilvl="3">
      <w:start w:val="1"/>
      <w:numFmt w:val="decimal"/>
      <w:suff w:val="nothing"/>
      <w:lvlText w:val="%4"/>
      <w:lvlJc w:val="left"/>
      <w:pPr>
        <w:ind w:left="864" w:hanging="864"/>
      </w:pPr>
    </w:lvl>
    <w:lvl w:ilvl="4">
      <w:start w:val="1"/>
      <w:numFmt w:val="decimal"/>
      <w:suff w:val="nothing"/>
      <w:lvlText w:val="%5"/>
      <w:lvlJc w:val="left"/>
      <w:pPr>
        <w:ind w:left="1008" w:hanging="1008"/>
      </w:pPr>
    </w:lvl>
    <w:lvl w:ilvl="5">
      <w:start w:val="1"/>
      <w:numFmt w:val="decimal"/>
      <w:suff w:val="nothing"/>
      <w:lvlText w:val="%6"/>
      <w:lvlJc w:val="left"/>
      <w:pPr>
        <w:ind w:left="1152" w:hanging="1152"/>
      </w:pPr>
    </w:lvl>
    <w:lvl w:ilvl="6">
      <w:start w:val="1"/>
      <w:numFmt w:val="decimal"/>
      <w:suff w:val="nothing"/>
      <w:lvlText w:val="%7"/>
      <w:lvlJc w:val="left"/>
      <w:pPr>
        <w:ind w:left="1296" w:hanging="1296"/>
      </w:pPr>
    </w:lvl>
    <w:lvl w:ilvl="7">
      <w:start w:val="1"/>
      <w:numFmt w:val="decimal"/>
      <w:suff w:val="nothing"/>
      <w:lvlText w:val="%8"/>
      <w:lvlJc w:val="left"/>
      <w:pPr>
        <w:ind w:left="1440" w:hanging="1440"/>
      </w:pPr>
    </w:lvl>
    <w:lvl w:ilvl="8">
      <w:start w:val="1"/>
      <w:numFmt w:val="decimal"/>
      <w:suff w:val="nothing"/>
      <w:lvlText w:val="%9"/>
      <w:lvlJc w:val="left"/>
      <w:pPr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style2" w:default="1">
    <w:name w:val="DStyle_paragraph"/>
    <w:rPr>
      <w:rFonts w:ascii="Times New Roman" w:hAnsi="Times New Roman" w:eastAsia="Tahoma" w:cs="Lohit Devanagari"/>
      <w:color w:val="auto"/>
      <w:sz w:val="20"/>
      <w:szCs w:val="20"/>
      <w:lang w:val="ru-RU" w:eastAsia="zh-CN" w:bidi="hi-IN"/>
    </w:rPr>
  </w:style>
  <w:style w:type="paragraph" w:styleId="style5" w:customStyle="1">
    <w:name w:val="Standard"/>
    <w:basedOn w:val="style2"/>
    <w:pPr>
      <w:widowControl/>
      <w:spacing w:before="0" w:after="0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ru-RU" w:eastAsia="zh-CN" w:bidi="ar-SA"/>
    </w:rPr>
  </w:style>
  <w:style w:type="paragraph" w:styleId="style6" w:customStyle="1">
    <w:name w:val="Heading"/>
    <w:basedOn w:val="style5"/>
    <w:next w:val="style7"/>
    <w:pPr>
      <w:jc w:val="center"/>
    </w:pPr>
    <w:rPr>
      <w:b/>
      <w:bCs/>
      <w:sz w:val="44"/>
    </w:rPr>
  </w:style>
  <w:style w:type="paragraph" w:styleId="style7" w:customStyle="1">
    <w:name w:val="Text body"/>
    <w:basedOn w:val="style5"/>
    <w:qFormat/>
    <w:pPr>
      <w:jc w:val="both"/>
    </w:pPr>
  </w:style>
  <w:style w:type="paragraph" w:styleId="style8" w:customStyle="1">
    <w:name w:val="List"/>
    <w:basedOn w:val="style7"/>
    <w:rPr>
      <w:rFonts w:cs="Mangal"/>
    </w:rPr>
  </w:style>
  <w:style w:type="paragraph" w:styleId="style9" w:customStyle="1">
    <w:name w:val="Caption"/>
    <w:basedOn w:val="style5"/>
    <w:pPr>
      <w:spacing w:before="120" w:after="120"/>
    </w:pPr>
    <w:rPr>
      <w:rFonts w:cs="Lohit Devanagari"/>
      <w:i/>
      <w:iCs/>
      <w:sz w:val="24"/>
      <w:szCs w:val="24"/>
    </w:rPr>
  </w:style>
  <w:style w:type="paragraph" w:styleId="style10" w:customStyle="1">
    <w:name w:val="Index"/>
    <w:basedOn w:val="style5"/>
    <w:rPr>
      <w:rFonts w:cs="Lohit Devanagari"/>
    </w:rPr>
  </w:style>
  <w:style w:type="paragraph" w:styleId="style11" w:customStyle="1">
    <w:name w:val="Heading 1"/>
    <w:basedOn w:val="style5"/>
    <w:next w:val="style5"/>
    <w:qFormat/>
    <w:pPr>
      <w:numPr>
        <w:numId w:val="3"/>
        <w:ilvl w:val="0"/>
      </w:numPr>
      <w:jc w:val="center"/>
      <w:outlineLvl w:val="1"/>
    </w:pPr>
    <w:rPr>
      <w:b/>
      <w:bCs/>
      <w:sz w:val="36"/>
    </w:rPr>
  </w:style>
  <w:style w:type="paragraph" w:styleId="style12" w:customStyle="1">
    <w:name w:val="Heading 2"/>
    <w:basedOn w:val="style5"/>
    <w:next w:val="style5"/>
    <w:qFormat/>
    <w:pPr>
      <w:numPr>
        <w:numId w:val="3"/>
        <w:ilvl w:val="1"/>
      </w:numPr>
      <w:jc w:val="center"/>
      <w:outlineLvl w:val="2"/>
    </w:pPr>
    <w:rPr>
      <w:b/>
      <w:bCs/>
      <w:sz w:val="68"/>
    </w:rPr>
  </w:style>
  <w:style w:type="paragraph" w:styleId="style13" w:customStyle="1">
    <w:name w:val="Heading 3"/>
    <w:basedOn w:val="style5"/>
    <w:next w:val="style5"/>
    <w:qFormat/>
    <w:pPr>
      <w:numPr>
        <w:numId w:val="3"/>
        <w:ilvl w:val="2"/>
      </w:numPr>
      <w:jc w:val="center"/>
      <w:outlineLvl w:val="3"/>
    </w:pPr>
    <w:rPr>
      <w:b/>
      <w:bCs/>
      <w:sz w:val="48"/>
    </w:rPr>
  </w:style>
  <w:style w:type="paragraph" w:styleId="style14" w:customStyle="1">
    <w:name w:val="Heading 4"/>
    <w:basedOn w:val="style5"/>
    <w:next w:val="style5"/>
    <w:qFormat/>
    <w:pPr>
      <w:numPr>
        <w:numId w:val="3"/>
        <w:ilvl w:val="3"/>
      </w:numPr>
      <w:jc w:val="center"/>
      <w:outlineLvl w:val="4"/>
    </w:pPr>
    <w:rPr>
      <w:b/>
      <w:bCs/>
      <w:sz w:val="28"/>
    </w:rPr>
  </w:style>
  <w:style w:type="paragraph" w:styleId="style15" w:customStyle="1">
    <w:name w:val="Heading 5"/>
    <w:basedOn w:val="style5"/>
    <w:next w:val="style5"/>
    <w:qFormat/>
    <w:pPr>
      <w:keepNext/>
      <w:keepLines/>
      <w:numPr>
        <w:numId w:val="0"/>
        <w:ilvl w:val="0"/>
      </w:numPr>
      <w:spacing w:before="320" w:after="200"/>
      <w:outlineLvl w:val="5"/>
    </w:pPr>
    <w:rPr>
      <w:rFonts w:ascii="Arial" w:hAnsi="Arial" w:eastAsia="Arial" w:cs="Arial"/>
      <w:b/>
      <w:bCs/>
      <w:sz w:val="24"/>
      <w:szCs w:val="24"/>
    </w:rPr>
  </w:style>
  <w:style w:type="paragraph" w:styleId="style16" w:customStyle="1">
    <w:name w:val="Heading 6"/>
    <w:basedOn w:val="style5"/>
    <w:next w:val="style5"/>
    <w:qFormat/>
    <w:pPr>
      <w:numPr>
        <w:numId w:val="3"/>
        <w:ilvl w:val="5"/>
      </w:numPr>
      <w:jc w:val="both"/>
      <w:outlineLvl w:val="6"/>
    </w:pPr>
    <w:rPr>
      <w:b/>
      <w:bCs/>
      <w:sz w:val="32"/>
    </w:rPr>
  </w:style>
  <w:style w:type="paragraph" w:styleId="style17" w:customStyle="1">
    <w:name w:val="Heading 7"/>
    <w:basedOn w:val="style5"/>
    <w:next w:val="style5"/>
    <w:qFormat/>
    <w:pPr>
      <w:keepNext/>
      <w:keepLines/>
      <w:numPr>
        <w:numId w:val="0"/>
        <w:ilvl w:val="0"/>
      </w:numPr>
      <w:spacing w:before="320" w:after="200"/>
      <w:outlineLvl w:val="7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style18" w:customStyle="1">
    <w:name w:val="Heading 8"/>
    <w:basedOn w:val="style5"/>
    <w:next w:val="style5"/>
    <w:qFormat/>
    <w:pPr>
      <w:keepNext/>
      <w:keepLines/>
      <w:numPr>
        <w:numId w:val="0"/>
        <w:ilvl w:val="0"/>
      </w:numPr>
      <w:spacing w:before="320" w:after="200"/>
      <w:outlineLvl w:val="8"/>
    </w:pPr>
    <w:rPr>
      <w:rFonts w:ascii="Arial" w:hAnsi="Arial" w:eastAsia="Arial" w:cs="Arial"/>
      <w:i/>
      <w:iCs/>
      <w:sz w:val="22"/>
      <w:szCs w:val="22"/>
    </w:rPr>
  </w:style>
  <w:style w:type="paragraph" w:styleId="style19" w:customStyle="1">
    <w:name w:val="Heading 9"/>
    <w:basedOn w:val="style5"/>
    <w:next w:val="style5"/>
    <w:qFormat/>
    <w:pPr>
      <w:keepNext/>
      <w:keepLines/>
      <w:numPr>
        <w:numId w:val="0"/>
        <w:ilvl w:val="0"/>
      </w:numPr>
      <w:spacing w:before="320" w:after="200"/>
      <w:outlineLvl w:val="9"/>
    </w:pPr>
    <w:rPr>
      <w:rFonts w:ascii="Arial" w:hAnsi="Arial" w:eastAsia="Arial" w:cs="Arial"/>
      <w:i/>
      <w:iCs/>
      <w:sz w:val="21"/>
      <w:szCs w:val="21"/>
    </w:rPr>
  </w:style>
  <w:style w:type="paragraph" w:styleId="style20" w:customStyle="1">
    <w:name w:val="List Paragraph"/>
    <w:basedOn w:val="style5"/>
    <w:qFormat/>
    <w:pPr>
      <w:spacing w:before="0" w:after="0"/>
      <w:ind w:left="720" w:right="0" w:firstLine="0"/>
    </w:pPr>
  </w:style>
  <w:style w:type="paragraph" w:styleId="style21" w:customStyle="1">
    <w:name w:val="No Spacing"/>
    <w:basedOn w:val="style2"/>
    <w:qFormat/>
    <w:pPr>
      <w:widowControl/>
      <w:spacing w:before="0" w:after="0" w:line="240" w:lineRule="auto"/>
      <w:jc w:val="left"/>
    </w:pPr>
    <w:rPr>
      <w:rFonts w:ascii="Times New Roman" w:hAnsi="Times New Roman" w:eastAsia="Tahoma" w:cs="Lohit Devanagari"/>
      <w:color w:val="auto"/>
      <w:sz w:val="20"/>
      <w:szCs w:val="20"/>
      <w:lang w:val="ru-RU" w:eastAsia="zh-CN" w:bidi="hi-IN"/>
    </w:rPr>
  </w:style>
  <w:style w:type="paragraph" w:styleId="style22" w:customStyle="1">
    <w:name w:val="Title"/>
    <w:basedOn w:val="style5"/>
    <w:next w:val="style5"/>
    <w:pPr>
      <w:spacing w:before="300" w:after="200"/>
    </w:pPr>
    <w:rPr>
      <w:sz w:val="48"/>
      <w:szCs w:val="48"/>
    </w:rPr>
  </w:style>
  <w:style w:type="paragraph" w:styleId="style23" w:customStyle="1">
    <w:name w:val="Quote"/>
    <w:basedOn w:val="style5"/>
    <w:next w:val="style5"/>
    <w:pPr>
      <w:ind w:left="720" w:right="720" w:firstLine="0"/>
    </w:pPr>
    <w:rPr>
      <w:i/>
    </w:rPr>
  </w:style>
  <w:style w:type="paragraph" w:styleId="style24" w:customStyle="1">
    <w:name w:val="Intense Quote"/>
    <w:basedOn w:val="style5"/>
    <w:next w:val="style5"/>
    <w:qFormat/>
    <w:pPr>
      <w:pBdr>
        <w:top w:val="single" w:color="FFFFFF" w:sz="4"/>
        <w:left w:val="single" w:color="FFFFFF" w:sz="4"/>
        <w:bottom w:val="single" w:color="FFFFFF" w:sz="4"/>
        <w:right w:val="single" w:color="FFFFFF" w:sz="4"/>
      </w:pBdr>
      <w:shd w:val="clear" w:color="auto" w:fill="f2f2f2"/>
      <w:spacing w:before="0" w:after="0"/>
      <w:ind w:left="720" w:right="720" w:firstLine="0"/>
    </w:pPr>
    <w:rPr>
      <w:i/>
    </w:rPr>
  </w:style>
  <w:style w:type="paragraph" w:styleId="style25" w:customStyle="1">
    <w:name w:val="Header and Footer"/>
    <w:basedOn w:val="style5"/>
    <w:qFormat/>
  </w:style>
  <w:style w:type="paragraph" w:styleId="style26" w:customStyle="1">
    <w:name w:val="Header"/>
    <w:basedOn w:val="style5"/>
    <w:pPr>
      <w:tabs>
        <w:tab w:val="center" w:pos="7142"/>
        <w:tab w:val="right" w:pos="14286"/>
      </w:tabs>
      <w:spacing w:before="0" w:after="0" w:line="240" w:lineRule="auto"/>
    </w:pPr>
  </w:style>
  <w:style w:type="paragraph" w:styleId="style27" w:customStyle="1">
    <w:name w:val="Footer"/>
    <w:basedOn w:val="style5"/>
    <w:pPr>
      <w:tabs>
        <w:tab w:val="center" w:pos="7142"/>
        <w:tab w:val="right" w:pos="14286"/>
      </w:tabs>
      <w:spacing w:before="0" w:after="0" w:line="240" w:lineRule="auto"/>
    </w:pPr>
  </w:style>
  <w:style w:type="paragraph" w:styleId="style28" w:customStyle="1">
    <w:name w:val="Footnote"/>
    <w:basedOn w:val="style5"/>
    <w:pPr>
      <w:spacing w:before="0" w:after="40" w:line="240" w:lineRule="auto"/>
    </w:pPr>
    <w:rPr>
      <w:sz w:val="18"/>
    </w:rPr>
  </w:style>
  <w:style w:type="paragraph" w:styleId="style29" w:customStyle="1">
    <w:name w:val="Endnote"/>
    <w:basedOn w:val="style5"/>
    <w:pPr>
      <w:spacing w:before="0" w:after="0" w:line="240" w:lineRule="auto"/>
    </w:pPr>
    <w:rPr>
      <w:sz w:val="20"/>
    </w:rPr>
  </w:style>
  <w:style w:type="paragraph" w:styleId="style30" w:customStyle="1">
    <w:name w:val="Contents 1"/>
    <w:basedOn w:val="style5"/>
    <w:next w:val="style5"/>
    <w:qFormat/>
    <w:pPr>
      <w:spacing w:before="0" w:after="57"/>
      <w:ind w:left="0" w:right="0" w:firstLine="0"/>
    </w:pPr>
  </w:style>
  <w:style w:type="paragraph" w:styleId="style31" w:customStyle="1">
    <w:name w:val="Contents 2"/>
    <w:basedOn w:val="style5"/>
    <w:next w:val="style5"/>
    <w:qFormat/>
    <w:pPr>
      <w:spacing w:before="0" w:after="57"/>
      <w:ind w:left="283" w:right="0" w:firstLine="0"/>
    </w:pPr>
  </w:style>
  <w:style w:type="paragraph" w:styleId="style32" w:customStyle="1">
    <w:name w:val="Contents 3"/>
    <w:basedOn w:val="style5"/>
    <w:next w:val="style5"/>
    <w:qFormat/>
    <w:pPr>
      <w:spacing w:before="0" w:after="57"/>
      <w:ind w:left="567" w:right="0" w:firstLine="0"/>
    </w:pPr>
  </w:style>
  <w:style w:type="paragraph" w:styleId="style33" w:customStyle="1">
    <w:name w:val="Contents 4"/>
    <w:basedOn w:val="style5"/>
    <w:next w:val="style5"/>
    <w:qFormat/>
    <w:pPr>
      <w:spacing w:before="0" w:after="57"/>
      <w:ind w:left="850" w:right="0" w:firstLine="0"/>
    </w:pPr>
  </w:style>
  <w:style w:type="paragraph" w:styleId="style34" w:customStyle="1">
    <w:name w:val="Contents 5"/>
    <w:basedOn w:val="style5"/>
    <w:next w:val="style5"/>
    <w:qFormat/>
    <w:pPr>
      <w:spacing w:before="0" w:after="57"/>
      <w:ind w:left="1134" w:right="0" w:firstLine="0"/>
    </w:pPr>
  </w:style>
  <w:style w:type="paragraph" w:styleId="style35" w:customStyle="1">
    <w:name w:val="Contents 6"/>
    <w:basedOn w:val="style5"/>
    <w:next w:val="style5"/>
    <w:qFormat/>
    <w:pPr>
      <w:spacing w:before="0" w:after="57"/>
      <w:ind w:left="1417" w:right="0" w:firstLine="0"/>
    </w:pPr>
  </w:style>
  <w:style w:type="paragraph" w:styleId="style36" w:customStyle="1">
    <w:name w:val="Contents 7"/>
    <w:basedOn w:val="style5"/>
    <w:next w:val="style5"/>
    <w:qFormat/>
    <w:pPr>
      <w:spacing w:before="0" w:after="57"/>
      <w:ind w:left="1701" w:right="0" w:firstLine="0"/>
    </w:pPr>
  </w:style>
  <w:style w:type="paragraph" w:styleId="style37" w:customStyle="1">
    <w:name w:val="Contents 8"/>
    <w:basedOn w:val="style5"/>
    <w:next w:val="style5"/>
    <w:qFormat/>
    <w:pPr>
      <w:spacing w:before="0" w:after="57"/>
      <w:ind w:left="1984" w:right="0" w:firstLine="0"/>
    </w:pPr>
  </w:style>
  <w:style w:type="paragraph" w:styleId="style38" w:customStyle="1">
    <w:name w:val="Contents 9"/>
    <w:basedOn w:val="style5"/>
    <w:next w:val="style5"/>
    <w:qFormat/>
    <w:pPr>
      <w:spacing w:before="0" w:after="57"/>
      <w:ind w:left="2268" w:right="0" w:firstLine="0"/>
    </w:pPr>
  </w:style>
  <w:style w:type="paragraph" w:styleId="style39" w:customStyle="1">
    <w:name w:val="Index Heading"/>
    <w:basedOn w:val="style6"/>
    <w:qFormat/>
  </w:style>
  <w:style w:type="paragraph" w:styleId="style40" w:customStyle="1">
    <w:name w:val="Contents Heading"/>
    <w:basedOn w:val="style2"/>
    <w:qFormat/>
    <w:pPr>
      <w:widowControl/>
      <w:spacing w:before="0" w:after="0"/>
      <w:jc w:val="left"/>
    </w:pPr>
    <w:rPr>
      <w:rFonts w:ascii="Times New Roman" w:hAnsi="Times New Roman" w:eastAsia="Tahoma" w:cs="Lohit Devanagari"/>
      <w:color w:val="auto"/>
      <w:sz w:val="20"/>
      <w:szCs w:val="20"/>
      <w:lang w:val="ru-RU" w:eastAsia="zh-CN" w:bidi="hi-IN"/>
    </w:rPr>
  </w:style>
  <w:style w:type="paragraph" w:styleId="style41" w:customStyle="1">
    <w:name w:val="Figure Index 1"/>
    <w:basedOn w:val="style5"/>
    <w:next w:val="style5"/>
    <w:qFormat/>
    <w:pPr>
      <w:spacing w:before="0" w:after="0"/>
    </w:pPr>
  </w:style>
  <w:style w:type="paragraph" w:styleId="style42" w:customStyle="1">
    <w:name w:val="Название объекта"/>
    <w:basedOn w:val="style5"/>
    <w:qFormat/>
    <w:pPr>
      <w:spacing w:before="120" w:after="120"/>
    </w:pPr>
    <w:rPr>
      <w:rFonts w:cs="Mangal"/>
      <w:i/>
      <w:iCs/>
      <w:sz w:val="24"/>
      <w:szCs w:val="24"/>
    </w:rPr>
  </w:style>
  <w:style w:type="paragraph" w:styleId="style43" w:customStyle="1">
    <w:name w:val="Указатель1"/>
    <w:basedOn w:val="style5"/>
    <w:rPr>
      <w:rFonts w:cs="Mangal"/>
    </w:rPr>
  </w:style>
  <w:style w:type="paragraph" w:styleId="style44" w:customStyle="1">
    <w:name w:val="Основной текст 21"/>
    <w:basedOn w:val="style5"/>
    <w:qFormat/>
    <w:pPr>
      <w:jc w:val="both"/>
    </w:pPr>
    <w:rPr>
      <w:sz w:val="20"/>
    </w:rPr>
  </w:style>
  <w:style w:type="paragraph" w:styleId="style45" w:customStyle="1">
    <w:name w:val="Text body indent"/>
    <w:basedOn w:val="style5"/>
    <w:qFormat/>
    <w:pPr>
      <w:tabs>
        <w:tab w:val="left" w:pos="1068"/>
      </w:tabs>
      <w:ind w:left="708" w:right="0" w:hanging="719"/>
      <w:jc w:val="both"/>
    </w:pPr>
    <w:rPr>
      <w:sz w:val="20"/>
    </w:rPr>
  </w:style>
  <w:style w:type="paragraph" w:styleId="style46" w:customStyle="1">
    <w:name w:val="Subtitle"/>
    <w:basedOn w:val="style5"/>
    <w:next w:val="style7"/>
    <w:pPr>
      <w:jc w:val="center"/>
    </w:pPr>
    <w:rPr>
      <w:b/>
      <w:bCs/>
      <w:sz w:val="32"/>
    </w:rPr>
  </w:style>
  <w:style w:type="paragraph" w:styleId="style47" w:customStyle="1">
    <w:name w:val="Основной текст с отступом 21"/>
    <w:basedOn w:val="style5"/>
    <w:qFormat/>
    <w:pPr>
      <w:ind w:left="0" w:right="0" w:firstLine="360"/>
      <w:jc w:val="both"/>
    </w:pPr>
    <w:rPr>
      <w:b/>
      <w:bCs/>
      <w:sz w:val="22"/>
    </w:rPr>
  </w:style>
  <w:style w:type="paragraph" w:styleId="style48" w:customStyle="1">
    <w:name w:val="Основной текст 31"/>
    <w:basedOn w:val="style5"/>
    <w:qFormat/>
    <w:rPr>
      <w:b/>
      <w:bCs/>
      <w:sz w:val="20"/>
    </w:rPr>
  </w:style>
  <w:style w:type="paragraph" w:styleId="style49" w:customStyle="1">
    <w:name w:val="Основной текст с отступом 31"/>
    <w:basedOn w:val="style5"/>
    <w:qFormat/>
    <w:pPr>
      <w:ind w:left="0" w:right="0" w:firstLine="708"/>
      <w:jc w:val="both"/>
    </w:pPr>
    <w:rPr>
      <w:sz w:val="28"/>
    </w:rPr>
  </w:style>
  <w:style w:type="paragraph" w:styleId="style50" w:customStyle="1">
    <w:name w:val="Table Contents"/>
    <w:basedOn w:val="style5"/>
    <w:qFormat/>
    <w:pPr>
      <w:widowControl w:val="off"/>
    </w:pPr>
    <w:rPr>
      <w:rFonts w:eastAsia="Lucida Sans Unicode" w:cs="Mangal"/>
      <w:lang w:bidi="hi-IN"/>
    </w:rPr>
  </w:style>
  <w:style w:type="paragraph" w:styleId="style51" w:customStyle="1">
    <w:name w:val="Table Heading"/>
    <w:basedOn w:val="style50"/>
    <w:qFormat/>
    <w:pPr>
      <w:jc w:val="center"/>
    </w:pPr>
    <w:rPr>
      <w:b/>
      <w:bCs/>
    </w:rPr>
  </w:style>
  <w:style w:type="paragraph" w:styleId="style52" w:customStyle="1">
    <w:name w:val="Text body (WW)"/>
    <w:basedOn w:val="style5"/>
    <w:qFormat/>
    <w:pPr>
      <w:widowControl w:val="off"/>
      <w:spacing w:before="0" w:after="120"/>
    </w:pPr>
    <w:rPr>
      <w:rFonts w:eastAsia="Lucida Sans Unicode" w:cs="Mangal"/>
      <w:lang w:bidi="hi-IN"/>
    </w:rPr>
  </w:style>
  <w:style w:type="paragraph" w:styleId="style53" w:customStyle="1">
    <w:name w:val="Абзац списка"/>
    <w:basedOn w:val="style5"/>
    <w:qFormat/>
    <w:pPr>
      <w:spacing w:before="0" w:after="160" w:line="252" w:lineRule="auto"/>
      <w:ind w:left="720" w:right="0" w:firstLine="0"/>
    </w:pPr>
    <w:rPr>
      <w:rFonts w:ascii="Calibri" w:hAnsi="Calibri" w:eastAsia="Calibri" w:cs="Calibri"/>
      <w:sz w:val="22"/>
      <w:szCs w:val="22"/>
    </w:rPr>
  </w:style>
  <w:style w:type="character" w:styleId="style54" w:customStyle="1">
    <w:name w:val="Heading 1 Char"/>
    <w:basedOn w:val="style2"/>
    <w:qFormat/>
    <w:rPr>
      <w:rFonts w:ascii="Arial" w:hAnsi="Arial" w:eastAsia="Arial" w:cs="Arial"/>
      <w:sz w:val="40"/>
      <w:szCs w:val="40"/>
    </w:rPr>
  </w:style>
  <w:style w:type="character" w:styleId="style55" w:customStyle="1">
    <w:name w:val="Heading 2 Char"/>
    <w:basedOn w:val="style2"/>
    <w:qFormat/>
    <w:rPr>
      <w:rFonts w:ascii="Arial" w:hAnsi="Arial" w:eastAsia="Arial" w:cs="Arial"/>
      <w:sz w:val="34"/>
    </w:rPr>
  </w:style>
  <w:style w:type="character" w:styleId="style56" w:customStyle="1">
    <w:name w:val="Heading 3 Char"/>
    <w:basedOn w:val="style2"/>
    <w:qFormat/>
    <w:rPr>
      <w:rFonts w:ascii="Arial" w:hAnsi="Arial" w:eastAsia="Arial" w:cs="Arial"/>
      <w:sz w:val="30"/>
      <w:szCs w:val="30"/>
    </w:rPr>
  </w:style>
  <w:style w:type="character" w:styleId="style57" w:customStyle="1">
    <w:name w:val="Heading 4 Char"/>
    <w:basedOn w:val="style2"/>
    <w:qFormat/>
    <w:rPr>
      <w:rFonts w:ascii="Arial" w:hAnsi="Arial" w:eastAsia="Arial" w:cs="Arial"/>
      <w:b/>
      <w:bCs/>
      <w:sz w:val="26"/>
      <w:szCs w:val="26"/>
    </w:rPr>
  </w:style>
  <w:style w:type="character" w:styleId="style58" w:customStyle="1">
    <w:name w:val="Heading 5 Char"/>
    <w:basedOn w:val="style2"/>
    <w:qFormat/>
    <w:rPr>
      <w:rFonts w:ascii="Arial" w:hAnsi="Arial" w:eastAsia="Arial" w:cs="Arial"/>
      <w:b/>
      <w:bCs/>
      <w:sz w:val="24"/>
      <w:szCs w:val="24"/>
    </w:rPr>
  </w:style>
  <w:style w:type="character" w:styleId="style59" w:customStyle="1">
    <w:name w:val="Heading 6 Char"/>
    <w:basedOn w:val="style2"/>
    <w:qFormat/>
    <w:rPr>
      <w:rFonts w:ascii="Arial" w:hAnsi="Arial" w:eastAsia="Arial" w:cs="Arial"/>
      <w:b/>
      <w:bCs/>
      <w:sz w:val="22"/>
      <w:szCs w:val="22"/>
    </w:rPr>
  </w:style>
  <w:style w:type="character" w:styleId="style60" w:customStyle="1">
    <w:name w:val="Heading 7 Char"/>
    <w:basedOn w:val="style2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style61" w:customStyle="1">
    <w:name w:val="Heading 8 Char"/>
    <w:basedOn w:val="style2"/>
    <w:qFormat/>
    <w:rPr>
      <w:rFonts w:ascii="Arial" w:hAnsi="Arial" w:eastAsia="Arial" w:cs="Arial"/>
      <w:i/>
      <w:iCs/>
      <w:sz w:val="22"/>
      <w:szCs w:val="22"/>
    </w:rPr>
  </w:style>
  <w:style w:type="character" w:styleId="style62" w:customStyle="1">
    <w:name w:val="Heading 9 Char"/>
    <w:basedOn w:val="style2"/>
    <w:qFormat/>
    <w:rPr>
      <w:rFonts w:ascii="Arial" w:hAnsi="Arial" w:eastAsia="Arial" w:cs="Arial"/>
      <w:i/>
      <w:iCs/>
      <w:sz w:val="21"/>
      <w:szCs w:val="21"/>
    </w:rPr>
  </w:style>
  <w:style w:type="character" w:styleId="style63" w:customStyle="1">
    <w:name w:val="Title Char"/>
    <w:basedOn w:val="style2"/>
    <w:qFormat/>
    <w:rPr>
      <w:sz w:val="48"/>
      <w:szCs w:val="48"/>
    </w:rPr>
  </w:style>
  <w:style w:type="character" w:styleId="style64" w:customStyle="1">
    <w:name w:val="Subtitle Char"/>
    <w:basedOn w:val="style2"/>
    <w:qFormat/>
    <w:rPr>
      <w:sz w:val="24"/>
      <w:szCs w:val="24"/>
    </w:rPr>
  </w:style>
  <w:style w:type="character" w:styleId="style65" w:customStyle="1">
    <w:name w:val="Quote Char"/>
    <w:basedOn w:val="style2"/>
    <w:qFormat/>
    <w:rPr>
      <w:i/>
    </w:rPr>
  </w:style>
  <w:style w:type="character" w:styleId="style66" w:customStyle="1">
    <w:name w:val="Intense Quote Char"/>
    <w:basedOn w:val="style2"/>
    <w:qFormat/>
    <w:rPr>
      <w:i/>
    </w:rPr>
  </w:style>
  <w:style w:type="character" w:styleId="style67" w:customStyle="1">
    <w:name w:val="Header Char"/>
    <w:basedOn w:val="style2"/>
    <w:qFormat/>
  </w:style>
  <w:style w:type="character" w:styleId="style68" w:customStyle="1">
    <w:name w:val="Footer Char"/>
    <w:basedOn w:val="style2"/>
    <w:qFormat/>
  </w:style>
  <w:style w:type="character" w:styleId="style69" w:customStyle="1">
    <w:name w:val="Caption Char"/>
    <w:basedOn w:val="style2"/>
    <w:qFormat/>
    <w:rPr>
      <w:b/>
      <w:bCs/>
      <w:color w:val="4f81bd"/>
      <w:sz w:val="18"/>
      <w:szCs w:val="18"/>
    </w:rPr>
  </w:style>
  <w:style w:type="character" w:styleId="style70" w:customStyle="1">
    <w:name w:val="Footnote Text Char"/>
    <w:basedOn w:val="style2"/>
    <w:qFormat/>
    <w:rPr>
      <w:sz w:val="18"/>
    </w:rPr>
  </w:style>
  <w:style w:type="character" w:styleId="style71" w:customStyle="1">
    <w:name w:val="Footnote Symbol"/>
    <w:basedOn w:val="style2"/>
    <w:qFormat/>
    <w:rPr>
      <w:vertAlign w:val="superscript"/>
    </w:rPr>
  </w:style>
  <w:style w:type="character" w:styleId="style72" w:customStyle="1">
    <w:name w:val="Footnote anchor"/>
    <w:basedOn w:val="style2"/>
    <w:qFormat/>
    <w:rPr>
      <w:vertAlign w:val="superscript"/>
    </w:rPr>
  </w:style>
  <w:style w:type="character" w:styleId="style73" w:customStyle="1">
    <w:name w:val="Endnote Text Char"/>
    <w:basedOn w:val="style2"/>
    <w:qFormat/>
    <w:rPr>
      <w:sz w:val="20"/>
    </w:rPr>
  </w:style>
  <w:style w:type="character" w:styleId="style74" w:customStyle="1">
    <w:name w:val="Endnote Symbol"/>
    <w:basedOn w:val="style2"/>
    <w:qFormat/>
    <w:rPr>
      <w:vertAlign w:val="superscript"/>
    </w:rPr>
  </w:style>
  <w:style w:type="character" w:styleId="style75" w:customStyle="1">
    <w:name w:val="Endnote anchor"/>
    <w:basedOn w:val="style2"/>
    <w:qFormat/>
    <w:rPr>
      <w:vertAlign w:val="superscript"/>
    </w:rPr>
  </w:style>
  <w:style w:type="character" w:styleId="style76" w:customStyle="1">
    <w:name w:val="Основной шрифт абзаца"/>
    <w:basedOn w:val="style2"/>
    <w:qFormat/>
  </w:style>
  <w:style w:type="character" w:styleId="style77" w:customStyle="1">
    <w:name w:val="WW8Num1z0"/>
    <w:basedOn w:val="style2"/>
  </w:style>
  <w:style w:type="character" w:styleId="style78" w:customStyle="1">
    <w:name w:val="WW8Num1z1"/>
    <w:basedOn w:val="style2"/>
  </w:style>
  <w:style w:type="character" w:styleId="style79" w:customStyle="1">
    <w:name w:val="WW8Num1z2"/>
    <w:basedOn w:val="style2"/>
  </w:style>
  <w:style w:type="character" w:styleId="style80" w:customStyle="1">
    <w:name w:val="WW8Num1z3"/>
    <w:basedOn w:val="style2"/>
  </w:style>
  <w:style w:type="character" w:styleId="style81" w:customStyle="1">
    <w:name w:val="WW8Num1z4"/>
    <w:basedOn w:val="style2"/>
  </w:style>
  <w:style w:type="character" w:styleId="style82" w:customStyle="1">
    <w:name w:val="WW8Num1z5"/>
    <w:basedOn w:val="style2"/>
  </w:style>
  <w:style w:type="character" w:styleId="style83" w:customStyle="1">
    <w:name w:val="WW8Num1z6"/>
    <w:basedOn w:val="style2"/>
  </w:style>
  <w:style w:type="character" w:styleId="style84" w:customStyle="1">
    <w:name w:val="WW8Num1z7"/>
    <w:basedOn w:val="style2"/>
  </w:style>
  <w:style w:type="character" w:styleId="style85" w:customStyle="1">
    <w:name w:val="WW8Num1z8"/>
    <w:basedOn w:val="style2"/>
  </w:style>
  <w:style w:type="character" w:styleId="style86" w:customStyle="1">
    <w:name w:val="WW8Num2z0"/>
    <w:basedOn w:val="style2"/>
    <w:rPr>
      <w:rFonts w:ascii="Times New Roman" w:hAnsi="Times New Roman" w:eastAsia="Times New Roman" w:cs="Times New Roman"/>
      <w:sz w:val="28"/>
    </w:rPr>
  </w:style>
  <w:style w:type="character" w:styleId="style87" w:customStyle="1">
    <w:name w:val="WW8Num2z1"/>
    <w:basedOn w:val="style2"/>
    <w:rPr>
      <w:rFonts w:ascii="Courier New" w:hAnsi="Courier New" w:cs="Courier New"/>
    </w:rPr>
  </w:style>
  <w:style w:type="character" w:styleId="style88" w:customStyle="1">
    <w:name w:val="WW8Num2z2"/>
    <w:basedOn w:val="style2"/>
    <w:rPr>
      <w:rFonts w:ascii="Wingdings" w:hAnsi="Wingdings" w:cs="Wingdings"/>
    </w:rPr>
  </w:style>
  <w:style w:type="character" w:styleId="style89" w:customStyle="1">
    <w:name w:val="WW8Num2z3"/>
    <w:basedOn w:val="style2"/>
    <w:rPr>
      <w:rFonts w:ascii="Symbol" w:hAnsi="Symbol" w:cs="Symbol"/>
    </w:rPr>
  </w:style>
  <w:style w:type="character" w:styleId="style90" w:customStyle="1">
    <w:name w:val="WW8Num3z0"/>
    <w:basedOn w:val="style2"/>
    <w:rPr>
      <w:rFonts w:ascii="Wingdings" w:hAnsi="Wingdings" w:eastAsia="Times New Roman" w:cs="Times New Roman"/>
    </w:rPr>
  </w:style>
  <w:style w:type="character" w:styleId="style91" w:customStyle="1">
    <w:name w:val="WW8Num3z1"/>
    <w:basedOn w:val="style2"/>
    <w:rPr>
      <w:rFonts w:ascii="Courier New" w:hAnsi="Courier New" w:cs="Courier New"/>
    </w:rPr>
  </w:style>
  <w:style w:type="character" w:styleId="style92" w:customStyle="1">
    <w:name w:val="WW8Num3z2"/>
    <w:basedOn w:val="style2"/>
    <w:rPr>
      <w:rFonts w:ascii="Wingdings" w:hAnsi="Wingdings" w:cs="Wingdings"/>
    </w:rPr>
  </w:style>
  <w:style w:type="character" w:styleId="style93" w:customStyle="1">
    <w:name w:val="WW8Num3z3"/>
    <w:basedOn w:val="style2"/>
    <w:rPr>
      <w:rFonts w:ascii="Symbol" w:hAnsi="Symbol" w:cs="Symbol"/>
    </w:rPr>
  </w:style>
  <w:style w:type="character" w:styleId="style94" w:customStyle="1">
    <w:name w:val="Основной шрифт абзаца1"/>
    <w:basedOn w:val="style2"/>
    <w:qFormat/>
  </w:style>
  <w:style w:type="character" w:styleId="style95" w:customStyle="1">
    <w:name w:val="Internet link"/>
    <w:basedOn w:val="style2"/>
    <w:qFormat/>
    <w:rPr>
      <w:color w:val="0000ff"/>
      <w:u w:val="single"/>
    </w:rPr>
  </w:style>
  <w:style w:type="character" w:styleId="style96" w:customStyle="1">
    <w:name w:val="Основной текст Знак"/>
    <w:basedOn w:val="style2"/>
    <w:qFormat/>
    <w:rPr>
      <w:sz w:val="24"/>
      <w:szCs w:val="24"/>
      <w:lang w:eastAsia="zh-CN"/>
    </w:rPr>
  </w:style>
  <w:style w:type="character" w:styleId="style97" w:customStyle="1">
    <w:name w:val="Default Paragraph Font (WW)"/>
    <w:basedOn w:val="style2"/>
    <w:qFormat/>
  </w:style>
  <w:style w:type="character" w:styleId="style98" w:customStyle="1">
    <w:name w:val="ListLabel 1"/>
    <w:basedOn w:val="style2"/>
    <w:qFormat/>
  </w:style>
  <w:style w:type="character" w:styleId="style99" w:customStyle="1">
    <w:name w:val="ListLabel 2"/>
    <w:basedOn w:val="style2"/>
    <w:qFormat/>
  </w:style>
  <w:style w:type="character" w:styleId="style100" w:customStyle="1">
    <w:name w:val="ListLabel 3"/>
    <w:basedOn w:val="style2"/>
    <w:qFormat/>
  </w:style>
  <w:style w:type="character" w:styleId="style101" w:customStyle="1">
    <w:name w:val="ListLabel 4"/>
    <w:basedOn w:val="style2"/>
    <w:qFormat/>
  </w:style>
  <w:style w:type="character" w:styleId="style102" w:customStyle="1">
    <w:name w:val="ListLabel 5"/>
    <w:basedOn w:val="style2"/>
    <w:qFormat/>
  </w:style>
  <w:style w:type="character" w:styleId="style103" w:customStyle="1">
    <w:name w:val="ListLabel 6"/>
    <w:basedOn w:val="style2"/>
    <w:qFormat/>
  </w:style>
  <w:style w:type="character" w:styleId="style104" w:customStyle="1">
    <w:name w:val="ListLabel 7"/>
    <w:basedOn w:val="style2"/>
    <w:qFormat/>
  </w:style>
  <w:style w:type="character" w:styleId="style105" w:customStyle="1">
    <w:name w:val="ListLabel 8"/>
    <w:basedOn w:val="style2"/>
    <w:qFormat/>
  </w:style>
  <w:style w:type="character" w:styleId="style106" w:customStyle="1">
    <w:name w:val="ListLabel 9"/>
    <w:basedOn w:val="style2"/>
    <w:qFormat/>
  </w:style>
  <w:style w:type="character" w:styleId="style107" w:customStyle="1">
    <w:name w:val="ListLabel 10"/>
    <w:basedOn w:val="style2"/>
    <w:qFormat/>
    <w:rPr>
      <w:rFonts w:eastAsia="Times New Roman" w:cs="Times New Roman"/>
      <w:color w:val="000000"/>
      <w:sz w:val="24"/>
      <w:szCs w:val="24"/>
      <w:u w:val="single"/>
      <w:shd w:val="clear" w:color="auto" w:fill="ffffff"/>
    </w:rPr>
  </w:style>
  <w:style w:type="character" w:styleId="style108" w:customStyle="1">
    <w:name w:val="ListLabel 11"/>
    <w:basedOn w:val="style2"/>
    <w:qFormat/>
    <w:rPr>
      <w:rFonts w:eastAsia="Times New Roman" w:cs="Times New Roman"/>
      <w:color w:val="000000"/>
      <w:sz w:val="24"/>
      <w:szCs w:val="24"/>
      <w:u w:val="single"/>
    </w:rPr>
  </w:style>
  <w:style w:type="character" w:styleId="style109" w:customStyle="1">
    <w:name w:val="ListLabel 12"/>
    <w:basedOn w:val="style2"/>
    <w:qFormat/>
    <w:rPr>
      <w:rFonts w:eastAsia="Times New Roman" w:cs="Times New Roman"/>
      <w:color w:val="000000"/>
      <w:sz w:val="24"/>
      <w:szCs w:val="24"/>
      <w:u w:val="none"/>
    </w:rPr>
  </w:style>
  <w:style w:type="character" w:styleId="style110" w:customStyle="1">
    <w:name w:val="ListLabel 13"/>
    <w:basedOn w:val="style2"/>
    <w:qFormat/>
    <w:rPr>
      <w:rFonts w:eastAsia="Times New Roman" w:cs="Times New Roman"/>
      <w:color w:val="000000"/>
      <w:sz w:val="24"/>
      <w:szCs w:val="24"/>
      <w:lang w:val="ru-RU" w:eastAsia="zh-CN" w:bidi="ar-SA"/>
    </w:rPr>
  </w:style>
  <w:style w:type="character" w:styleId="style111" w:customStyle="1">
    <w:name w:val="ListLabel 14"/>
    <w:basedOn w:val="style2"/>
    <w:qFormat/>
  </w:style>
  <w:style w:type="character" w:styleId="style112" w:customStyle="1">
    <w:name w:val="ListLabel 15"/>
    <w:basedOn w:val="style2"/>
    <w:qFormat/>
  </w:style>
  <w:style w:type="character" w:styleId="style113" w:customStyle="1">
    <w:name w:val="ListLabel 16"/>
    <w:basedOn w:val="style2"/>
    <w:qFormat/>
  </w:style>
  <w:style w:type="character" w:styleId="style114" w:customStyle="1">
    <w:name w:val="ListLabel 17"/>
    <w:basedOn w:val="style2"/>
    <w:qFormat/>
  </w:style>
  <w:style w:type="character" w:styleId="style115" w:customStyle="1">
    <w:name w:val="ListLabel 18"/>
    <w:basedOn w:val="style2"/>
    <w:qFormat/>
  </w:style>
  <w:style w:type="character" w:styleId="style116" w:customStyle="1">
    <w:name w:val="ListLabel 19"/>
    <w:basedOn w:val="style2"/>
    <w:qFormat/>
  </w:style>
  <w:style w:type="character" w:styleId="style117" w:customStyle="1">
    <w:name w:val="ListLabel 20"/>
    <w:basedOn w:val="style2"/>
    <w:qFormat/>
  </w:style>
  <w:style w:type="character" w:styleId="style118" w:customStyle="1">
    <w:name w:val="ListLabel 21"/>
    <w:basedOn w:val="style2"/>
    <w:qFormat/>
  </w:style>
  <w:style w:type="character" w:styleId="style119" w:customStyle="1">
    <w:name w:val="ListLabel 22"/>
    <w:basedOn w:val="style2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image" Target="media/image1.png"/><Relationship Id="rId8" Type="http://schemas.openxmlformats.org/officeDocument/2006/relationships/hyperlink" Target="https://www.consultant.ru/document/cons_doc_LAW_33773/" TargetMode="External"/><Relationship Id="rId9" Type="http://schemas.openxmlformats.org/officeDocument/2006/relationships/hyperlink" Target="https://www.consultant.ru/document/cons_doc_LAW_33773/" TargetMode="External"/><Relationship Id="rId10" Type="http://schemas.openxmlformats.org/officeDocument/2006/relationships/hyperlink" Target="https://www.consultant.ru/document/cons_doc_LAW_495301/ed26bddb08b565a251e0dcd48e06fe3e51abe458/#dst1855" TargetMode="External"/><Relationship Id="rId11" Type="http://schemas.openxmlformats.org/officeDocument/2006/relationships/hyperlink" Target="http://ivo.garant.ru/#/document/71764524/entry/1006" TargetMode="External"/><Relationship Id="rId12" Type="http://schemas.openxmlformats.org/officeDocument/2006/relationships/hyperlink" Target="http://www.consultant.ru/document/cons_doc_LAW_304066/" TargetMode="External"/><Relationship Id="rId13" Type="http://schemas.openxmlformats.org/officeDocument/2006/relationships/hyperlink" Target="http://www.consultant.ru/document/cons_doc_LAW_330851/8f7c0ce0195a7f4f0985d1ca3612eee1bc811452/#dst189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haracters>18419</Characters>
  <CharactersWithSpaces>21038</CharactersWithSpaces>
  <Pages>7</Pages>
  <Paragraphs>74</Paragraphs>
  <Template>LibreOffice/7.6.7.2$Linux_X86_64 LibreOffice_project/60$Build-2</Template>
  <Words>2454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НАК «Нефтегаз Украины»</dc:title>
  <dc:language>ru-RU</dc:language>
  <cp:lastModifiedBy>CNG\boldyreva</cp:lastModifiedBy>
  <dcterms:modified xsi:type="dcterms:W3CDTF">2026-04-10T13:00:22.542097445</dcterms:modified>
</cp:coreProperties>
</file>